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C56" w:rsidRDefault="00350C56" w:rsidP="00D14A33">
      <w:pPr>
        <w:jc w:val="center"/>
        <w:rPr>
          <w:rStyle w:val="Strong"/>
          <w:color w:val="000000"/>
          <w:sz w:val="28"/>
          <w:szCs w:val="28"/>
        </w:rPr>
      </w:pPr>
      <w:bookmarkStart w:id="0" w:name="_GoBack"/>
      <w:bookmarkEnd w:id="0"/>
    </w:p>
    <w:p w:rsidR="00E646DF" w:rsidRPr="00F150B3" w:rsidRDefault="00F150B3" w:rsidP="00D14A33">
      <w:pPr>
        <w:jc w:val="center"/>
        <w:rPr>
          <w:rStyle w:val="Strong"/>
          <w:rFonts w:cstheme="minorHAnsi"/>
          <w:b w:val="0"/>
          <w:color w:val="000000"/>
          <w:sz w:val="28"/>
          <w:szCs w:val="28"/>
        </w:rPr>
      </w:pPr>
      <w:r w:rsidRPr="00F150B3">
        <w:rPr>
          <w:rFonts w:cstheme="minorHAnsi"/>
          <w:b/>
          <w:sz w:val="28"/>
          <w:szCs w:val="28"/>
        </w:rPr>
        <w:t>Rewards from Eliminating Deadweight Taxes</w:t>
      </w:r>
      <w:r w:rsidRPr="00F150B3">
        <w:rPr>
          <w:rStyle w:val="Strong"/>
          <w:rFonts w:cstheme="minorHAnsi"/>
          <w:color w:val="000000"/>
          <w:sz w:val="28"/>
          <w:szCs w:val="28"/>
        </w:rPr>
        <w:t xml:space="preserve">: </w:t>
      </w:r>
      <w:r w:rsidR="00E646DF" w:rsidRPr="00F150B3">
        <w:rPr>
          <w:rStyle w:val="Strong"/>
          <w:rFonts w:cstheme="minorHAnsi"/>
          <w:color w:val="000000"/>
          <w:sz w:val="28"/>
          <w:szCs w:val="28"/>
        </w:rPr>
        <w:t>The hidden potential of Scotland's land and natural resource rents</w:t>
      </w:r>
      <w:r w:rsidR="00234BF3" w:rsidRPr="00F150B3">
        <w:rPr>
          <w:rStyle w:val="FootnoteReference"/>
          <w:rFonts w:cstheme="minorHAnsi"/>
          <w:bCs/>
          <w:color w:val="000000"/>
          <w:sz w:val="28"/>
          <w:szCs w:val="28"/>
        </w:rPr>
        <w:footnoteReference w:id="1"/>
      </w:r>
    </w:p>
    <w:p w:rsidR="00350C56" w:rsidRPr="00234BF3" w:rsidRDefault="00234BF3" w:rsidP="00350C56">
      <w:pPr>
        <w:jc w:val="right"/>
        <w:rPr>
          <w:rStyle w:val="Strong"/>
          <w:color w:val="000000"/>
          <w:sz w:val="28"/>
          <w:szCs w:val="28"/>
        </w:rPr>
      </w:pPr>
      <w:r>
        <w:rPr>
          <w:rStyle w:val="Strong"/>
          <w:color w:val="000000"/>
          <w:sz w:val="28"/>
          <w:szCs w:val="28"/>
        </w:rPr>
        <w:t>Roger J Sandilands</w:t>
      </w:r>
      <w:r w:rsidR="00350C56">
        <w:rPr>
          <w:rStyle w:val="FootnoteReference"/>
          <w:b/>
          <w:bCs/>
          <w:color w:val="000000"/>
          <w:sz w:val="28"/>
          <w:szCs w:val="28"/>
        </w:rPr>
        <w:footnoteReference w:id="2"/>
      </w:r>
    </w:p>
    <w:p w:rsidR="002823D1" w:rsidRDefault="002823D1" w:rsidP="0023651A">
      <w:pPr>
        <w:rPr>
          <w:rStyle w:val="Strong"/>
          <w:color w:val="000000"/>
          <w:sz w:val="24"/>
          <w:szCs w:val="24"/>
        </w:rPr>
      </w:pPr>
    </w:p>
    <w:p w:rsidR="0023651A" w:rsidRPr="009A1F03" w:rsidRDefault="00432E26" w:rsidP="0023651A">
      <w:pPr>
        <w:rPr>
          <w:rStyle w:val="Strong"/>
          <w:color w:val="000000"/>
          <w:sz w:val="24"/>
          <w:szCs w:val="24"/>
        </w:rPr>
      </w:pPr>
      <w:r>
        <w:rPr>
          <w:rStyle w:val="Strong"/>
          <w:color w:val="000000"/>
          <w:sz w:val="24"/>
          <w:szCs w:val="24"/>
        </w:rPr>
        <w:t xml:space="preserve">1.1: </w:t>
      </w:r>
      <w:r w:rsidR="0023651A" w:rsidRPr="009A1F03">
        <w:rPr>
          <w:rStyle w:val="Strong"/>
          <w:color w:val="000000"/>
          <w:sz w:val="24"/>
          <w:szCs w:val="24"/>
        </w:rPr>
        <w:t>Introduction</w:t>
      </w:r>
    </w:p>
    <w:p w:rsidR="008C55A2" w:rsidRPr="00AE67BF" w:rsidRDefault="0023651A"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 xml:space="preserve">In 1884, </w:t>
      </w:r>
      <w:r w:rsidR="00B13614">
        <w:rPr>
          <w:rStyle w:val="Strong"/>
          <w:rFonts w:ascii="Times New Roman" w:hAnsi="Times New Roman" w:cs="Times New Roman"/>
          <w:b w:val="0"/>
          <w:color w:val="000000"/>
          <w:sz w:val="24"/>
          <w:szCs w:val="24"/>
        </w:rPr>
        <w:t xml:space="preserve">the American economist </w:t>
      </w:r>
      <w:r w:rsidRPr="00AE67BF">
        <w:rPr>
          <w:rStyle w:val="Strong"/>
          <w:rFonts w:ascii="Times New Roman" w:hAnsi="Times New Roman" w:cs="Times New Roman"/>
          <w:b w:val="0"/>
          <w:color w:val="000000"/>
          <w:sz w:val="24"/>
          <w:szCs w:val="24"/>
        </w:rPr>
        <w:t>Henry George addressed a packed audience in Glasgow’s City Halls to decry the shame</w:t>
      </w:r>
      <w:r w:rsidR="00421B99" w:rsidRPr="00AE67BF">
        <w:rPr>
          <w:rStyle w:val="Strong"/>
          <w:rFonts w:ascii="Times New Roman" w:hAnsi="Times New Roman" w:cs="Times New Roman"/>
          <w:b w:val="0"/>
          <w:color w:val="000000"/>
          <w:sz w:val="24"/>
          <w:szCs w:val="24"/>
        </w:rPr>
        <w:t xml:space="preserve">ful poverty and squalor that existed side by side with </w:t>
      </w:r>
      <w:r w:rsidR="009A1F03" w:rsidRPr="00AE67BF">
        <w:rPr>
          <w:rStyle w:val="Strong"/>
          <w:rFonts w:ascii="Times New Roman" w:hAnsi="Times New Roman" w:cs="Times New Roman"/>
          <w:b w:val="0"/>
          <w:color w:val="000000"/>
          <w:sz w:val="24"/>
          <w:szCs w:val="24"/>
        </w:rPr>
        <w:t xml:space="preserve">so much evidence of growing overall </w:t>
      </w:r>
      <w:r w:rsidR="00421B99" w:rsidRPr="00AE67BF">
        <w:rPr>
          <w:rStyle w:val="Strong"/>
          <w:rFonts w:ascii="Times New Roman" w:hAnsi="Times New Roman" w:cs="Times New Roman"/>
          <w:b w:val="0"/>
          <w:color w:val="000000"/>
          <w:sz w:val="24"/>
          <w:szCs w:val="24"/>
        </w:rPr>
        <w:t xml:space="preserve">wealth in the Second City of the Empire. </w:t>
      </w:r>
      <w:r w:rsidR="00203EA0" w:rsidRPr="00AE67BF">
        <w:rPr>
          <w:rStyle w:val="Strong"/>
          <w:rFonts w:ascii="Times New Roman" w:hAnsi="Times New Roman" w:cs="Times New Roman"/>
          <w:b w:val="0"/>
          <w:color w:val="000000"/>
          <w:sz w:val="24"/>
          <w:szCs w:val="24"/>
        </w:rPr>
        <w:t>Why</w:t>
      </w:r>
      <w:r w:rsidR="00F6671D" w:rsidRPr="00AE67BF">
        <w:rPr>
          <w:rStyle w:val="Strong"/>
          <w:rFonts w:ascii="Times New Roman" w:hAnsi="Times New Roman" w:cs="Times New Roman"/>
          <w:b w:val="0"/>
          <w:color w:val="000000"/>
          <w:sz w:val="24"/>
          <w:szCs w:val="24"/>
        </w:rPr>
        <w:t xml:space="preserve"> was this? </w:t>
      </w:r>
      <w:r w:rsidR="00203EA0" w:rsidRPr="00AE67BF">
        <w:rPr>
          <w:rStyle w:val="Strong"/>
          <w:rFonts w:ascii="Times New Roman" w:hAnsi="Times New Roman" w:cs="Times New Roman"/>
          <w:b w:val="0"/>
          <w:color w:val="000000"/>
          <w:sz w:val="24"/>
          <w:szCs w:val="24"/>
        </w:rPr>
        <w:t xml:space="preserve">George </w:t>
      </w:r>
      <w:r w:rsidR="0095776C" w:rsidRPr="00AE67BF">
        <w:rPr>
          <w:rStyle w:val="Strong"/>
          <w:rFonts w:ascii="Times New Roman" w:hAnsi="Times New Roman" w:cs="Times New Roman"/>
          <w:b w:val="0"/>
          <w:color w:val="000000"/>
          <w:sz w:val="24"/>
          <w:szCs w:val="24"/>
        </w:rPr>
        <w:t xml:space="preserve">had an answer that resonated with </w:t>
      </w:r>
      <w:r w:rsidR="007549CC" w:rsidRPr="00AE67BF">
        <w:rPr>
          <w:rStyle w:val="Strong"/>
          <w:rFonts w:ascii="Times New Roman" w:hAnsi="Times New Roman" w:cs="Times New Roman"/>
          <w:b w:val="0"/>
          <w:color w:val="000000"/>
          <w:sz w:val="24"/>
          <w:szCs w:val="24"/>
        </w:rPr>
        <w:t>the public</w:t>
      </w:r>
      <w:r w:rsidR="00B13614">
        <w:rPr>
          <w:rStyle w:val="Strong"/>
          <w:rFonts w:ascii="Times New Roman" w:hAnsi="Times New Roman" w:cs="Times New Roman"/>
          <w:b w:val="0"/>
          <w:color w:val="000000"/>
          <w:sz w:val="24"/>
          <w:szCs w:val="24"/>
        </w:rPr>
        <w:t xml:space="preserve"> and they </w:t>
      </w:r>
      <w:r w:rsidR="00F6671D" w:rsidRPr="00AE67BF">
        <w:rPr>
          <w:rStyle w:val="Strong"/>
          <w:rFonts w:ascii="Times New Roman" w:hAnsi="Times New Roman" w:cs="Times New Roman"/>
          <w:b w:val="0"/>
          <w:color w:val="000000"/>
          <w:sz w:val="24"/>
          <w:szCs w:val="24"/>
        </w:rPr>
        <w:t xml:space="preserve">later </w:t>
      </w:r>
      <w:r w:rsidR="00372321" w:rsidRPr="00AE67BF">
        <w:rPr>
          <w:rStyle w:val="Strong"/>
          <w:rFonts w:ascii="Times New Roman" w:hAnsi="Times New Roman" w:cs="Times New Roman"/>
          <w:b w:val="0"/>
          <w:color w:val="000000"/>
          <w:sz w:val="24"/>
          <w:szCs w:val="24"/>
        </w:rPr>
        <w:t>gave the Liberals a landslide victory in the general election of 1906</w:t>
      </w:r>
      <w:r w:rsidR="00B13614">
        <w:rPr>
          <w:rStyle w:val="Strong"/>
          <w:rFonts w:ascii="Times New Roman" w:hAnsi="Times New Roman" w:cs="Times New Roman"/>
          <w:b w:val="0"/>
          <w:color w:val="000000"/>
          <w:sz w:val="24"/>
          <w:szCs w:val="24"/>
        </w:rPr>
        <w:t xml:space="preserve">. The Liberal </w:t>
      </w:r>
      <w:r w:rsidR="00372321" w:rsidRPr="00AE67BF">
        <w:rPr>
          <w:rStyle w:val="Strong"/>
          <w:rFonts w:ascii="Times New Roman" w:hAnsi="Times New Roman" w:cs="Times New Roman"/>
          <w:b w:val="0"/>
          <w:color w:val="000000"/>
          <w:sz w:val="24"/>
          <w:szCs w:val="24"/>
        </w:rPr>
        <w:t>MP for Stirling, Henry Campbell Bannerman</w:t>
      </w:r>
      <w:r w:rsidR="00ED2F68" w:rsidRPr="00AE67BF">
        <w:rPr>
          <w:rStyle w:val="Strong"/>
          <w:rFonts w:ascii="Times New Roman" w:hAnsi="Times New Roman" w:cs="Times New Roman"/>
          <w:b w:val="0"/>
          <w:color w:val="000000"/>
          <w:sz w:val="24"/>
          <w:szCs w:val="24"/>
        </w:rPr>
        <w:t>,</w:t>
      </w:r>
      <w:r w:rsidR="00B13614">
        <w:rPr>
          <w:rStyle w:val="Strong"/>
          <w:rFonts w:ascii="Times New Roman" w:hAnsi="Times New Roman" w:cs="Times New Roman"/>
          <w:b w:val="0"/>
          <w:color w:val="000000"/>
          <w:sz w:val="24"/>
          <w:szCs w:val="24"/>
        </w:rPr>
        <w:t xml:space="preserve"> was confirmed as Prime Minister, </w:t>
      </w:r>
      <w:r w:rsidR="00564802" w:rsidRPr="00AE67BF">
        <w:rPr>
          <w:rStyle w:val="Strong"/>
          <w:rFonts w:ascii="Times New Roman" w:hAnsi="Times New Roman" w:cs="Times New Roman"/>
          <w:b w:val="0"/>
          <w:color w:val="000000"/>
          <w:sz w:val="24"/>
          <w:szCs w:val="24"/>
        </w:rPr>
        <w:t xml:space="preserve">followed in 1908 by </w:t>
      </w:r>
      <w:r w:rsidR="00ED2F68" w:rsidRPr="00AE67BF">
        <w:rPr>
          <w:rStyle w:val="Strong"/>
          <w:rFonts w:ascii="Times New Roman" w:hAnsi="Times New Roman" w:cs="Times New Roman"/>
          <w:b w:val="0"/>
          <w:color w:val="000000"/>
          <w:sz w:val="24"/>
          <w:szCs w:val="24"/>
        </w:rPr>
        <w:t>Herbert Asquith</w:t>
      </w:r>
      <w:r w:rsidR="00B13614">
        <w:rPr>
          <w:rStyle w:val="Strong"/>
          <w:rFonts w:ascii="Times New Roman" w:hAnsi="Times New Roman" w:cs="Times New Roman"/>
          <w:b w:val="0"/>
          <w:color w:val="000000"/>
          <w:sz w:val="24"/>
          <w:szCs w:val="24"/>
        </w:rPr>
        <w:t>, the MP for East Fife</w:t>
      </w:r>
      <w:r w:rsidR="00564802" w:rsidRPr="00AE67BF">
        <w:rPr>
          <w:rStyle w:val="Strong"/>
          <w:rFonts w:ascii="Times New Roman" w:hAnsi="Times New Roman" w:cs="Times New Roman"/>
          <w:b w:val="0"/>
          <w:color w:val="000000"/>
          <w:sz w:val="24"/>
          <w:szCs w:val="24"/>
        </w:rPr>
        <w:t>.</w:t>
      </w:r>
      <w:r w:rsidR="00372321" w:rsidRPr="00AE67BF">
        <w:rPr>
          <w:rStyle w:val="Strong"/>
          <w:rFonts w:ascii="Times New Roman" w:hAnsi="Times New Roman" w:cs="Times New Roman"/>
          <w:b w:val="0"/>
          <w:color w:val="000000"/>
          <w:sz w:val="24"/>
          <w:szCs w:val="24"/>
        </w:rPr>
        <w:t xml:space="preserve"> </w:t>
      </w:r>
      <w:r w:rsidR="00203EA0" w:rsidRPr="00AE67BF">
        <w:rPr>
          <w:rStyle w:val="Strong"/>
          <w:rFonts w:ascii="Times New Roman" w:hAnsi="Times New Roman" w:cs="Times New Roman"/>
          <w:b w:val="0"/>
          <w:color w:val="000000"/>
          <w:sz w:val="24"/>
          <w:szCs w:val="24"/>
        </w:rPr>
        <w:t>Glasgow Corporation</w:t>
      </w:r>
      <w:r w:rsidR="007549CC" w:rsidRPr="00AE67BF">
        <w:rPr>
          <w:rStyle w:val="Strong"/>
          <w:rFonts w:ascii="Times New Roman" w:hAnsi="Times New Roman" w:cs="Times New Roman"/>
          <w:b w:val="0"/>
          <w:color w:val="000000"/>
          <w:sz w:val="24"/>
          <w:szCs w:val="24"/>
        </w:rPr>
        <w:t xml:space="preserve"> was also dominated by Liberals who campaigned </w:t>
      </w:r>
      <w:r w:rsidR="00ED2F68" w:rsidRPr="00AE67BF">
        <w:rPr>
          <w:rStyle w:val="Strong"/>
          <w:rFonts w:ascii="Times New Roman" w:hAnsi="Times New Roman" w:cs="Times New Roman"/>
          <w:b w:val="0"/>
          <w:color w:val="000000"/>
          <w:sz w:val="24"/>
          <w:szCs w:val="24"/>
        </w:rPr>
        <w:t xml:space="preserve">strongly </w:t>
      </w:r>
      <w:r w:rsidR="00372321" w:rsidRPr="00AE67BF">
        <w:rPr>
          <w:rStyle w:val="Strong"/>
          <w:rFonts w:ascii="Times New Roman" w:hAnsi="Times New Roman" w:cs="Times New Roman"/>
          <w:b w:val="0"/>
          <w:color w:val="000000"/>
          <w:sz w:val="24"/>
          <w:szCs w:val="24"/>
        </w:rPr>
        <w:t xml:space="preserve">for land-value taxation. Prominent among these was </w:t>
      </w:r>
      <w:r w:rsidR="007549CC" w:rsidRPr="00AE67BF">
        <w:rPr>
          <w:rStyle w:val="Strong"/>
          <w:rFonts w:ascii="Times New Roman" w:hAnsi="Times New Roman" w:cs="Times New Roman"/>
          <w:b w:val="0"/>
          <w:color w:val="000000"/>
          <w:sz w:val="24"/>
          <w:szCs w:val="24"/>
        </w:rPr>
        <w:t xml:space="preserve">Baillie Peter </w:t>
      </w:r>
      <w:r w:rsidR="00CC2D36">
        <w:rPr>
          <w:rStyle w:val="Strong"/>
          <w:rFonts w:ascii="Times New Roman" w:hAnsi="Times New Roman" w:cs="Times New Roman"/>
          <w:b w:val="0"/>
          <w:color w:val="000000"/>
          <w:sz w:val="24"/>
          <w:szCs w:val="24"/>
        </w:rPr>
        <w:t xml:space="preserve">Burt </w:t>
      </w:r>
      <w:r w:rsidR="00564802" w:rsidRPr="00AE67BF">
        <w:rPr>
          <w:rStyle w:val="Strong"/>
          <w:rFonts w:ascii="Times New Roman" w:hAnsi="Times New Roman" w:cs="Times New Roman"/>
          <w:b w:val="0"/>
          <w:color w:val="000000"/>
          <w:sz w:val="24"/>
          <w:szCs w:val="24"/>
        </w:rPr>
        <w:t>who</w:t>
      </w:r>
      <w:r w:rsidR="00372321" w:rsidRPr="00AE67BF">
        <w:rPr>
          <w:rStyle w:val="Strong"/>
          <w:rFonts w:ascii="Times New Roman" w:hAnsi="Times New Roman" w:cs="Times New Roman"/>
          <w:b w:val="0"/>
          <w:color w:val="000000"/>
          <w:sz w:val="24"/>
          <w:szCs w:val="24"/>
        </w:rPr>
        <w:t xml:space="preserve"> helped promote a petition in 1906 signed by 518 local authorities calling for reform that led to </w:t>
      </w:r>
      <w:r w:rsidR="008C55A2" w:rsidRPr="00AE67BF">
        <w:rPr>
          <w:rStyle w:val="Strong"/>
          <w:rFonts w:ascii="Times New Roman" w:hAnsi="Times New Roman" w:cs="Times New Roman"/>
          <w:b w:val="0"/>
          <w:color w:val="000000"/>
          <w:sz w:val="24"/>
          <w:szCs w:val="24"/>
        </w:rPr>
        <w:t xml:space="preserve">a </w:t>
      </w:r>
      <w:r w:rsidR="00372321" w:rsidRPr="00AE67BF">
        <w:rPr>
          <w:rStyle w:val="Strong"/>
          <w:rFonts w:ascii="Times New Roman" w:hAnsi="Times New Roman" w:cs="Times New Roman"/>
          <w:b w:val="0"/>
          <w:color w:val="000000"/>
          <w:sz w:val="24"/>
          <w:szCs w:val="24"/>
        </w:rPr>
        <w:t xml:space="preserve">land valuation bill in 1908 and </w:t>
      </w:r>
      <w:r w:rsidR="008C55A2" w:rsidRPr="00AE67BF">
        <w:rPr>
          <w:rStyle w:val="Strong"/>
          <w:rFonts w:ascii="Times New Roman" w:hAnsi="Times New Roman" w:cs="Times New Roman"/>
          <w:b w:val="0"/>
          <w:color w:val="000000"/>
          <w:sz w:val="24"/>
          <w:szCs w:val="24"/>
        </w:rPr>
        <w:t xml:space="preserve">another in </w:t>
      </w:r>
      <w:r w:rsidR="00372321" w:rsidRPr="00AE67BF">
        <w:rPr>
          <w:rStyle w:val="Strong"/>
          <w:rFonts w:ascii="Times New Roman" w:hAnsi="Times New Roman" w:cs="Times New Roman"/>
          <w:b w:val="0"/>
          <w:color w:val="000000"/>
          <w:sz w:val="24"/>
          <w:szCs w:val="24"/>
        </w:rPr>
        <w:t>Lloyd George’s “People’s Budget” of 1909. Both bills were blocked by the landlord-dominated House of Lords</w:t>
      </w:r>
      <w:r w:rsidR="00CC2D36">
        <w:rPr>
          <w:rStyle w:val="Strong"/>
          <w:rFonts w:ascii="Times New Roman" w:hAnsi="Times New Roman" w:cs="Times New Roman"/>
          <w:b w:val="0"/>
          <w:color w:val="000000"/>
          <w:sz w:val="24"/>
          <w:szCs w:val="24"/>
        </w:rPr>
        <w:t>. This led in 1911 to the removal of the Lords’ power to block finance bills and a process was begun to value the land of the United Kingdom, a process halted by outbreak of war in 1914</w:t>
      </w:r>
      <w:r w:rsidR="00372321" w:rsidRPr="00AE67BF">
        <w:rPr>
          <w:rStyle w:val="Strong"/>
          <w:rFonts w:ascii="Times New Roman" w:hAnsi="Times New Roman" w:cs="Times New Roman"/>
          <w:b w:val="0"/>
          <w:color w:val="000000"/>
          <w:sz w:val="24"/>
          <w:szCs w:val="24"/>
        </w:rPr>
        <w:t>. On his retirement in 1920, a chair was presented to Baillie Burt with an iconic carving that summarised Henry George’s vision:</w:t>
      </w:r>
    </w:p>
    <w:p w:rsidR="009A1F03" w:rsidRDefault="009A1F03" w:rsidP="00421B99">
      <w:pPr>
        <w:jc w:val="both"/>
        <w:rPr>
          <w:rStyle w:val="Strong"/>
          <w:b w:val="0"/>
          <w:color w:val="000000"/>
          <w:sz w:val="24"/>
          <w:szCs w:val="24"/>
        </w:rPr>
      </w:pPr>
      <w:r>
        <w:rPr>
          <w:bCs/>
          <w:noProof/>
          <w:color w:val="000000"/>
          <w:sz w:val="24"/>
          <w:szCs w:val="24"/>
          <w:lang w:eastAsia="en-GB"/>
        </w:rPr>
        <w:drawing>
          <wp:inline distT="0" distB="0" distL="0" distR="0" wp14:anchorId="4668D9CF" wp14:editId="3F78B251">
            <wp:extent cx="2834241" cy="2126511"/>
            <wp:effectExtent l="0" t="0" r="4445" b="7620"/>
            <wp:docPr id="1" name="Picture 1" descr="c:\Users\Roger\Pictures\Henry George 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Pictures\Henry George cha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1626" cy="2132052"/>
                    </a:xfrm>
                    <a:prstGeom prst="rect">
                      <a:avLst/>
                    </a:prstGeom>
                    <a:noFill/>
                    <a:ln>
                      <a:noFill/>
                    </a:ln>
                  </pic:spPr>
                </pic:pic>
              </a:graphicData>
            </a:graphic>
          </wp:inline>
        </w:drawing>
      </w:r>
      <w:r w:rsidR="008C55A2">
        <w:rPr>
          <w:rStyle w:val="Strong"/>
          <w:b w:val="0"/>
          <w:color w:val="000000"/>
          <w:sz w:val="24"/>
          <w:szCs w:val="24"/>
        </w:rPr>
        <w:t xml:space="preserve"> </w:t>
      </w:r>
      <w:r>
        <w:rPr>
          <w:rStyle w:val="Strong"/>
          <w:b w:val="0"/>
          <w:color w:val="000000"/>
          <w:sz w:val="24"/>
          <w:szCs w:val="24"/>
        </w:rPr>
        <w:t xml:space="preserve"> </w:t>
      </w:r>
      <w:r>
        <w:rPr>
          <w:bCs/>
          <w:noProof/>
          <w:color w:val="000000"/>
          <w:sz w:val="24"/>
          <w:szCs w:val="24"/>
          <w:lang w:eastAsia="en-GB"/>
        </w:rPr>
        <w:drawing>
          <wp:inline distT="0" distB="0" distL="0" distR="0" wp14:anchorId="145D9848" wp14:editId="65A7C73D">
            <wp:extent cx="2821708" cy="2126511"/>
            <wp:effectExtent l="0" t="0" r="0" b="7620"/>
            <wp:docPr id="2" name="Picture 2" descr="C:\Users\Roger\Pictures\2014-11-16 Zizi\Zizi 005 - HG 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ger\Pictures\2014-11-16 Zizi\Zizi 005 - HG chai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2862" cy="2127381"/>
                    </a:xfrm>
                    <a:prstGeom prst="rect">
                      <a:avLst/>
                    </a:prstGeom>
                    <a:noFill/>
                    <a:ln>
                      <a:noFill/>
                    </a:ln>
                  </pic:spPr>
                </pic:pic>
              </a:graphicData>
            </a:graphic>
          </wp:inline>
        </w:drawing>
      </w:r>
    </w:p>
    <w:p w:rsidR="0023205B" w:rsidRPr="00AE67BF" w:rsidRDefault="007B73C2"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T</w:t>
      </w:r>
      <w:r w:rsidR="0095776C" w:rsidRPr="00AE67BF">
        <w:rPr>
          <w:rStyle w:val="Strong"/>
          <w:rFonts w:ascii="Times New Roman" w:hAnsi="Times New Roman" w:cs="Times New Roman"/>
          <w:b w:val="0"/>
          <w:color w:val="000000"/>
          <w:sz w:val="24"/>
          <w:szCs w:val="24"/>
        </w:rPr>
        <w:t xml:space="preserve">he purpose of </w:t>
      </w:r>
      <w:r w:rsidR="00FE7D32">
        <w:rPr>
          <w:rStyle w:val="Strong"/>
          <w:rFonts w:ascii="Times New Roman" w:hAnsi="Times New Roman" w:cs="Times New Roman"/>
          <w:b w:val="0"/>
          <w:color w:val="000000"/>
          <w:sz w:val="24"/>
          <w:szCs w:val="24"/>
        </w:rPr>
        <w:t>this background paper i</w:t>
      </w:r>
      <w:r w:rsidR="0095776C" w:rsidRPr="00AE67BF">
        <w:rPr>
          <w:rStyle w:val="Strong"/>
          <w:rFonts w:ascii="Times New Roman" w:hAnsi="Times New Roman" w:cs="Times New Roman"/>
          <w:b w:val="0"/>
          <w:color w:val="000000"/>
          <w:sz w:val="24"/>
          <w:szCs w:val="24"/>
        </w:rPr>
        <w:t>s</w:t>
      </w:r>
      <w:r w:rsidRPr="00AE67BF">
        <w:rPr>
          <w:rStyle w:val="Strong"/>
          <w:rFonts w:ascii="Times New Roman" w:hAnsi="Times New Roman" w:cs="Times New Roman"/>
          <w:b w:val="0"/>
          <w:color w:val="000000"/>
          <w:sz w:val="24"/>
          <w:szCs w:val="24"/>
        </w:rPr>
        <w:t xml:space="preserve"> to </w:t>
      </w:r>
      <w:r w:rsidR="008C55A2" w:rsidRPr="00AE67BF">
        <w:rPr>
          <w:rStyle w:val="Strong"/>
          <w:rFonts w:ascii="Times New Roman" w:hAnsi="Times New Roman" w:cs="Times New Roman"/>
          <w:b w:val="0"/>
          <w:color w:val="000000"/>
          <w:sz w:val="24"/>
          <w:szCs w:val="24"/>
        </w:rPr>
        <w:t xml:space="preserve">investigate </w:t>
      </w:r>
      <w:r w:rsidR="0023205B" w:rsidRPr="00AE67BF">
        <w:rPr>
          <w:rStyle w:val="Strong"/>
          <w:rFonts w:ascii="Times New Roman" w:hAnsi="Times New Roman" w:cs="Times New Roman"/>
          <w:b w:val="0"/>
          <w:color w:val="000000"/>
          <w:sz w:val="24"/>
          <w:szCs w:val="24"/>
        </w:rPr>
        <w:t xml:space="preserve">how far </w:t>
      </w:r>
      <w:r w:rsidR="00CC2D36">
        <w:rPr>
          <w:rStyle w:val="Strong"/>
          <w:rFonts w:ascii="Times New Roman" w:hAnsi="Times New Roman" w:cs="Times New Roman"/>
          <w:b w:val="0"/>
          <w:color w:val="000000"/>
          <w:sz w:val="24"/>
          <w:szCs w:val="24"/>
        </w:rPr>
        <w:t xml:space="preserve">the United Kingdom and Scotland </w:t>
      </w:r>
      <w:r w:rsidR="008C55A2" w:rsidRPr="00AE67BF">
        <w:rPr>
          <w:rStyle w:val="Strong"/>
          <w:rFonts w:ascii="Times New Roman" w:hAnsi="Times New Roman" w:cs="Times New Roman"/>
          <w:b w:val="0"/>
          <w:color w:val="000000"/>
          <w:sz w:val="24"/>
          <w:szCs w:val="24"/>
        </w:rPr>
        <w:t xml:space="preserve">could </w:t>
      </w:r>
      <w:r w:rsidR="00CC2D36">
        <w:rPr>
          <w:rStyle w:val="Strong"/>
          <w:rFonts w:ascii="Times New Roman" w:hAnsi="Times New Roman" w:cs="Times New Roman"/>
          <w:b w:val="0"/>
          <w:color w:val="000000"/>
          <w:sz w:val="24"/>
          <w:szCs w:val="24"/>
        </w:rPr>
        <w:t xml:space="preserve">together </w:t>
      </w:r>
      <w:r w:rsidR="008C55A2" w:rsidRPr="00AE67BF">
        <w:rPr>
          <w:rStyle w:val="Strong"/>
          <w:rFonts w:ascii="Times New Roman" w:hAnsi="Times New Roman" w:cs="Times New Roman"/>
          <w:b w:val="0"/>
          <w:color w:val="000000"/>
          <w:sz w:val="24"/>
          <w:szCs w:val="24"/>
        </w:rPr>
        <w:t>have be</w:t>
      </w:r>
      <w:r w:rsidR="00ED2F68" w:rsidRPr="00AE67BF">
        <w:rPr>
          <w:rStyle w:val="Strong"/>
          <w:rFonts w:ascii="Times New Roman" w:hAnsi="Times New Roman" w:cs="Times New Roman"/>
          <w:b w:val="0"/>
          <w:color w:val="000000"/>
          <w:sz w:val="24"/>
          <w:szCs w:val="24"/>
        </w:rPr>
        <w:t>en</w:t>
      </w:r>
      <w:r w:rsidR="008C55A2" w:rsidRPr="00AE67BF">
        <w:rPr>
          <w:rStyle w:val="Strong"/>
          <w:rFonts w:ascii="Times New Roman" w:hAnsi="Times New Roman" w:cs="Times New Roman"/>
          <w:b w:val="0"/>
          <w:color w:val="000000"/>
          <w:sz w:val="24"/>
          <w:szCs w:val="24"/>
        </w:rPr>
        <w:t xml:space="preserve"> </w:t>
      </w:r>
      <w:r w:rsidRPr="00AE67BF">
        <w:rPr>
          <w:rStyle w:val="Strong"/>
          <w:rFonts w:ascii="Times New Roman" w:hAnsi="Times New Roman" w:cs="Times New Roman"/>
          <w:b w:val="0"/>
          <w:color w:val="000000"/>
          <w:sz w:val="24"/>
          <w:szCs w:val="24"/>
        </w:rPr>
        <w:t xml:space="preserve">more prosperous and </w:t>
      </w:r>
      <w:r w:rsidR="00C85530" w:rsidRPr="00AE67BF">
        <w:rPr>
          <w:rStyle w:val="Strong"/>
          <w:rFonts w:ascii="Times New Roman" w:hAnsi="Times New Roman" w:cs="Times New Roman"/>
          <w:b w:val="0"/>
          <w:color w:val="000000"/>
          <w:sz w:val="24"/>
          <w:szCs w:val="24"/>
        </w:rPr>
        <w:t>equal</w:t>
      </w:r>
      <w:r w:rsidRPr="00AE67BF">
        <w:rPr>
          <w:rStyle w:val="Strong"/>
          <w:rFonts w:ascii="Times New Roman" w:hAnsi="Times New Roman" w:cs="Times New Roman"/>
          <w:b w:val="0"/>
          <w:color w:val="000000"/>
          <w:sz w:val="24"/>
          <w:szCs w:val="24"/>
        </w:rPr>
        <w:t xml:space="preserve"> had Lloyd George</w:t>
      </w:r>
      <w:r w:rsidR="0023205B" w:rsidRPr="00AE67BF">
        <w:rPr>
          <w:rStyle w:val="Strong"/>
          <w:rFonts w:ascii="Times New Roman" w:hAnsi="Times New Roman" w:cs="Times New Roman"/>
          <w:b w:val="0"/>
          <w:color w:val="000000"/>
          <w:sz w:val="24"/>
          <w:szCs w:val="24"/>
        </w:rPr>
        <w:t xml:space="preserve">’s </w:t>
      </w:r>
      <w:r w:rsidR="00564802" w:rsidRPr="00AE67BF">
        <w:rPr>
          <w:rStyle w:val="Strong"/>
          <w:rFonts w:ascii="Times New Roman" w:hAnsi="Times New Roman" w:cs="Times New Roman"/>
          <w:b w:val="0"/>
          <w:color w:val="000000"/>
          <w:sz w:val="24"/>
          <w:szCs w:val="24"/>
        </w:rPr>
        <w:t xml:space="preserve">struggle for </w:t>
      </w:r>
      <w:r w:rsidR="0023205B" w:rsidRPr="00AE67BF">
        <w:rPr>
          <w:rStyle w:val="Strong"/>
          <w:rFonts w:ascii="Times New Roman" w:hAnsi="Times New Roman" w:cs="Times New Roman"/>
          <w:b w:val="0"/>
          <w:color w:val="000000"/>
          <w:sz w:val="24"/>
          <w:szCs w:val="24"/>
        </w:rPr>
        <w:t>fiscal revolution</w:t>
      </w:r>
      <w:r w:rsidR="0095776C" w:rsidRPr="00AE67BF">
        <w:rPr>
          <w:rStyle w:val="Strong"/>
          <w:rFonts w:ascii="Times New Roman" w:hAnsi="Times New Roman" w:cs="Times New Roman"/>
          <w:b w:val="0"/>
          <w:color w:val="000000"/>
          <w:sz w:val="24"/>
          <w:szCs w:val="24"/>
        </w:rPr>
        <w:t xml:space="preserve"> succeeded</w:t>
      </w:r>
      <w:r w:rsidR="0023205B" w:rsidRPr="00AE67BF">
        <w:rPr>
          <w:rStyle w:val="Strong"/>
          <w:rFonts w:ascii="Times New Roman" w:hAnsi="Times New Roman" w:cs="Times New Roman"/>
          <w:b w:val="0"/>
          <w:color w:val="000000"/>
          <w:sz w:val="24"/>
          <w:szCs w:val="24"/>
        </w:rPr>
        <w:t>.</w:t>
      </w:r>
    </w:p>
    <w:p w:rsidR="002C505C" w:rsidRPr="00AE67BF" w:rsidRDefault="002C505C"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lastRenderedPageBreak/>
        <w:t xml:space="preserve">To answer this question, giving a broad brush range of </w:t>
      </w:r>
      <w:r w:rsidR="008C55A2" w:rsidRPr="00AE67BF">
        <w:rPr>
          <w:rStyle w:val="Strong"/>
          <w:rFonts w:ascii="Times New Roman" w:hAnsi="Times New Roman" w:cs="Times New Roman"/>
          <w:b w:val="0"/>
          <w:color w:val="000000"/>
          <w:sz w:val="24"/>
          <w:szCs w:val="24"/>
        </w:rPr>
        <w:t xml:space="preserve">plausible </w:t>
      </w:r>
      <w:r w:rsidRPr="00AE67BF">
        <w:rPr>
          <w:rStyle w:val="Strong"/>
          <w:rFonts w:ascii="Times New Roman" w:hAnsi="Times New Roman" w:cs="Times New Roman"/>
          <w:b w:val="0"/>
          <w:color w:val="000000"/>
          <w:sz w:val="24"/>
          <w:szCs w:val="24"/>
        </w:rPr>
        <w:t xml:space="preserve">figures, two issues must be addressed. </w:t>
      </w:r>
    </w:p>
    <w:p w:rsidR="0023205B" w:rsidRDefault="002C505C"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First</w:t>
      </w:r>
      <w:r w:rsidR="008227E0" w:rsidRPr="00AE67BF">
        <w:rPr>
          <w:rStyle w:val="Strong"/>
          <w:rFonts w:ascii="Times New Roman" w:hAnsi="Times New Roman" w:cs="Times New Roman"/>
          <w:b w:val="0"/>
          <w:color w:val="000000"/>
          <w:sz w:val="24"/>
          <w:szCs w:val="24"/>
        </w:rPr>
        <w:t>,</w:t>
      </w:r>
      <w:r w:rsidRPr="00AE67BF">
        <w:rPr>
          <w:rStyle w:val="Strong"/>
          <w:rFonts w:ascii="Times New Roman" w:hAnsi="Times New Roman" w:cs="Times New Roman"/>
          <w:b w:val="0"/>
          <w:color w:val="000000"/>
          <w:sz w:val="24"/>
          <w:szCs w:val="24"/>
        </w:rPr>
        <w:t xml:space="preserve"> we need to know whether </w:t>
      </w:r>
      <w:r w:rsidR="00590499" w:rsidRPr="00AE67BF">
        <w:rPr>
          <w:rStyle w:val="Strong"/>
          <w:rFonts w:ascii="Times New Roman" w:hAnsi="Times New Roman" w:cs="Times New Roman"/>
          <w:b w:val="0"/>
          <w:color w:val="000000"/>
          <w:sz w:val="24"/>
          <w:szCs w:val="24"/>
        </w:rPr>
        <w:t xml:space="preserve">the annual rental value of land and natural resources (“Land” in its broad classical definition) would </w:t>
      </w:r>
      <w:r w:rsidRPr="00AE67BF">
        <w:rPr>
          <w:rStyle w:val="Strong"/>
          <w:rFonts w:ascii="Times New Roman" w:hAnsi="Times New Roman" w:cs="Times New Roman"/>
          <w:b w:val="0"/>
          <w:color w:val="000000"/>
          <w:sz w:val="24"/>
          <w:szCs w:val="24"/>
        </w:rPr>
        <w:t xml:space="preserve">likely be sufficient to finance </w:t>
      </w:r>
      <w:r w:rsidR="008227E0" w:rsidRPr="00AE67BF">
        <w:rPr>
          <w:rStyle w:val="Strong"/>
          <w:rFonts w:ascii="Times New Roman" w:hAnsi="Times New Roman" w:cs="Times New Roman"/>
          <w:b w:val="0"/>
          <w:color w:val="000000"/>
          <w:sz w:val="24"/>
          <w:szCs w:val="24"/>
        </w:rPr>
        <w:t>modern government</w:t>
      </w:r>
      <w:r w:rsidR="00A46056">
        <w:rPr>
          <w:rStyle w:val="Strong"/>
          <w:rFonts w:ascii="Times New Roman" w:hAnsi="Times New Roman" w:cs="Times New Roman"/>
          <w:b w:val="0"/>
          <w:color w:val="000000"/>
          <w:sz w:val="24"/>
          <w:szCs w:val="24"/>
        </w:rPr>
        <w:t>s</w:t>
      </w:r>
      <w:r w:rsidR="008227E0" w:rsidRPr="00AE67BF">
        <w:rPr>
          <w:rStyle w:val="Strong"/>
          <w:rFonts w:ascii="Times New Roman" w:hAnsi="Times New Roman" w:cs="Times New Roman"/>
          <w:b w:val="0"/>
          <w:color w:val="000000"/>
          <w:sz w:val="24"/>
          <w:szCs w:val="24"/>
        </w:rPr>
        <w:t xml:space="preserve">’ </w:t>
      </w:r>
      <w:r w:rsidRPr="00AE67BF">
        <w:rPr>
          <w:rStyle w:val="Strong"/>
          <w:rFonts w:ascii="Times New Roman" w:hAnsi="Times New Roman" w:cs="Times New Roman"/>
          <w:b w:val="0"/>
          <w:color w:val="000000"/>
          <w:sz w:val="24"/>
          <w:szCs w:val="24"/>
        </w:rPr>
        <w:t xml:space="preserve">fiscal needs if </w:t>
      </w:r>
      <w:r w:rsidR="008C55A2" w:rsidRPr="00AE67BF">
        <w:rPr>
          <w:rStyle w:val="Strong"/>
          <w:rFonts w:ascii="Times New Roman" w:hAnsi="Times New Roman" w:cs="Times New Roman"/>
          <w:b w:val="0"/>
          <w:color w:val="000000"/>
          <w:sz w:val="24"/>
          <w:szCs w:val="24"/>
        </w:rPr>
        <w:t xml:space="preserve">these </w:t>
      </w:r>
      <w:r w:rsidR="00590499" w:rsidRPr="00AE67BF">
        <w:rPr>
          <w:rStyle w:val="Strong"/>
          <w:rFonts w:ascii="Times New Roman" w:hAnsi="Times New Roman" w:cs="Times New Roman"/>
          <w:b w:val="0"/>
          <w:color w:val="000000"/>
          <w:sz w:val="24"/>
          <w:szCs w:val="24"/>
        </w:rPr>
        <w:t xml:space="preserve">rents </w:t>
      </w:r>
      <w:r w:rsidR="008C55A2" w:rsidRPr="00AE67BF">
        <w:rPr>
          <w:rStyle w:val="Strong"/>
          <w:rFonts w:ascii="Times New Roman" w:hAnsi="Times New Roman" w:cs="Times New Roman"/>
          <w:b w:val="0"/>
          <w:color w:val="000000"/>
          <w:sz w:val="24"/>
          <w:szCs w:val="24"/>
        </w:rPr>
        <w:t xml:space="preserve">were its main </w:t>
      </w:r>
      <w:r w:rsidR="00590499" w:rsidRPr="00AE67BF">
        <w:rPr>
          <w:rStyle w:val="Strong"/>
          <w:rFonts w:ascii="Times New Roman" w:hAnsi="Times New Roman" w:cs="Times New Roman"/>
          <w:b w:val="0"/>
          <w:color w:val="000000"/>
          <w:sz w:val="24"/>
          <w:szCs w:val="24"/>
        </w:rPr>
        <w:t xml:space="preserve">revenue </w:t>
      </w:r>
      <w:r w:rsidR="008C55A2" w:rsidRPr="00AE67BF">
        <w:rPr>
          <w:rStyle w:val="Strong"/>
          <w:rFonts w:ascii="Times New Roman" w:hAnsi="Times New Roman" w:cs="Times New Roman"/>
          <w:b w:val="0"/>
          <w:color w:val="000000"/>
          <w:sz w:val="24"/>
          <w:szCs w:val="24"/>
        </w:rPr>
        <w:t>source</w:t>
      </w:r>
      <w:r w:rsidR="00224087" w:rsidRPr="00AE67BF">
        <w:rPr>
          <w:rStyle w:val="Strong"/>
          <w:rFonts w:ascii="Times New Roman" w:hAnsi="Times New Roman" w:cs="Times New Roman"/>
          <w:b w:val="0"/>
          <w:color w:val="000000"/>
          <w:sz w:val="24"/>
          <w:szCs w:val="24"/>
        </w:rPr>
        <w:t xml:space="preserve">, with </w:t>
      </w:r>
      <w:r w:rsidRPr="00AE67BF">
        <w:rPr>
          <w:rStyle w:val="Strong"/>
          <w:rFonts w:ascii="Times New Roman" w:hAnsi="Times New Roman" w:cs="Times New Roman"/>
          <w:b w:val="0"/>
          <w:color w:val="000000"/>
          <w:sz w:val="24"/>
          <w:szCs w:val="24"/>
        </w:rPr>
        <w:t xml:space="preserve">a corresponding reduction in </w:t>
      </w:r>
      <w:r w:rsidR="008227E0" w:rsidRPr="00AE67BF">
        <w:rPr>
          <w:rStyle w:val="Strong"/>
          <w:rFonts w:ascii="Times New Roman" w:hAnsi="Times New Roman" w:cs="Times New Roman"/>
          <w:b w:val="0"/>
          <w:color w:val="000000"/>
          <w:sz w:val="24"/>
          <w:szCs w:val="24"/>
        </w:rPr>
        <w:t xml:space="preserve">taxes on </w:t>
      </w:r>
      <w:r w:rsidRPr="00AE67BF">
        <w:rPr>
          <w:rStyle w:val="Strong"/>
          <w:rFonts w:ascii="Times New Roman" w:hAnsi="Times New Roman" w:cs="Times New Roman"/>
          <w:b w:val="0"/>
          <w:color w:val="000000"/>
          <w:sz w:val="24"/>
          <w:szCs w:val="24"/>
        </w:rPr>
        <w:t>other income</w:t>
      </w:r>
      <w:r w:rsidR="008227E0" w:rsidRPr="00AE67BF">
        <w:rPr>
          <w:rStyle w:val="Strong"/>
          <w:rFonts w:ascii="Times New Roman" w:hAnsi="Times New Roman" w:cs="Times New Roman"/>
          <w:b w:val="0"/>
          <w:color w:val="000000"/>
          <w:sz w:val="24"/>
          <w:szCs w:val="24"/>
        </w:rPr>
        <w:t>s</w:t>
      </w:r>
      <w:r w:rsidRPr="00AE67BF">
        <w:rPr>
          <w:rStyle w:val="Strong"/>
          <w:rFonts w:ascii="Times New Roman" w:hAnsi="Times New Roman" w:cs="Times New Roman"/>
          <w:b w:val="0"/>
          <w:color w:val="000000"/>
          <w:sz w:val="24"/>
          <w:szCs w:val="24"/>
        </w:rPr>
        <w:t xml:space="preserve">. </w:t>
      </w:r>
      <w:r w:rsidR="00F25CDE" w:rsidRPr="00AE67BF">
        <w:rPr>
          <w:rStyle w:val="Strong"/>
          <w:rFonts w:ascii="Times New Roman" w:hAnsi="Times New Roman" w:cs="Times New Roman"/>
          <w:b w:val="0"/>
          <w:color w:val="000000"/>
          <w:sz w:val="24"/>
          <w:szCs w:val="24"/>
        </w:rPr>
        <w:t>Over the 50 years b</w:t>
      </w:r>
      <w:r w:rsidRPr="00AE67BF">
        <w:rPr>
          <w:rStyle w:val="Strong"/>
          <w:rFonts w:ascii="Times New Roman" w:hAnsi="Times New Roman" w:cs="Times New Roman"/>
          <w:b w:val="0"/>
          <w:color w:val="000000"/>
          <w:sz w:val="24"/>
          <w:szCs w:val="24"/>
        </w:rPr>
        <w:t>etween FY1964</w:t>
      </w:r>
      <w:r w:rsidR="00F25CDE" w:rsidRPr="00AE67BF">
        <w:rPr>
          <w:rStyle w:val="Strong"/>
          <w:rFonts w:ascii="Times New Roman" w:hAnsi="Times New Roman" w:cs="Times New Roman"/>
          <w:b w:val="0"/>
          <w:color w:val="000000"/>
          <w:sz w:val="24"/>
          <w:szCs w:val="24"/>
        </w:rPr>
        <w:t>-65</w:t>
      </w:r>
      <w:r w:rsidRPr="00AE67BF">
        <w:rPr>
          <w:rStyle w:val="Strong"/>
          <w:rFonts w:ascii="Times New Roman" w:hAnsi="Times New Roman" w:cs="Times New Roman"/>
          <w:b w:val="0"/>
          <w:color w:val="000000"/>
          <w:sz w:val="24"/>
          <w:szCs w:val="24"/>
        </w:rPr>
        <w:t xml:space="preserve"> and FY2013</w:t>
      </w:r>
      <w:r w:rsidR="00F25CDE" w:rsidRPr="00AE67BF">
        <w:rPr>
          <w:rStyle w:val="Strong"/>
          <w:rFonts w:ascii="Times New Roman" w:hAnsi="Times New Roman" w:cs="Times New Roman"/>
          <w:b w:val="0"/>
          <w:color w:val="000000"/>
          <w:sz w:val="24"/>
          <w:szCs w:val="24"/>
        </w:rPr>
        <w:t>-14</w:t>
      </w:r>
      <w:r w:rsidRPr="00AE67BF">
        <w:rPr>
          <w:rStyle w:val="Strong"/>
          <w:rFonts w:ascii="Times New Roman" w:hAnsi="Times New Roman" w:cs="Times New Roman"/>
          <w:b w:val="0"/>
          <w:color w:val="000000"/>
          <w:sz w:val="24"/>
          <w:szCs w:val="24"/>
        </w:rPr>
        <w:t xml:space="preserve">, tax revenues as a share of </w:t>
      </w:r>
      <w:r w:rsidR="00E839AA">
        <w:rPr>
          <w:rStyle w:val="Strong"/>
          <w:rFonts w:ascii="Times New Roman" w:hAnsi="Times New Roman" w:cs="Times New Roman"/>
          <w:b w:val="0"/>
          <w:color w:val="000000"/>
          <w:sz w:val="24"/>
          <w:szCs w:val="24"/>
        </w:rPr>
        <w:t xml:space="preserve">UK </w:t>
      </w:r>
      <w:r w:rsidRPr="00AE67BF">
        <w:rPr>
          <w:rStyle w:val="Strong"/>
          <w:rFonts w:ascii="Times New Roman" w:hAnsi="Times New Roman" w:cs="Times New Roman"/>
          <w:b w:val="0"/>
          <w:color w:val="000000"/>
          <w:sz w:val="24"/>
          <w:szCs w:val="24"/>
        </w:rPr>
        <w:t xml:space="preserve">GDP fluctuated within the relatively narrow range of </w:t>
      </w:r>
      <w:r w:rsidR="00DE4337" w:rsidRPr="00AE67BF">
        <w:rPr>
          <w:rStyle w:val="Strong"/>
          <w:rFonts w:ascii="Times New Roman" w:hAnsi="Times New Roman" w:cs="Times New Roman"/>
          <w:b w:val="0"/>
          <w:color w:val="000000"/>
          <w:sz w:val="24"/>
          <w:szCs w:val="24"/>
        </w:rPr>
        <w:t xml:space="preserve">31.6% and 37.6%, with an average of </w:t>
      </w:r>
      <w:r w:rsidR="00F25CDE" w:rsidRPr="00AE67BF">
        <w:rPr>
          <w:rStyle w:val="Strong"/>
          <w:rFonts w:ascii="Times New Roman" w:hAnsi="Times New Roman" w:cs="Times New Roman"/>
          <w:b w:val="0"/>
          <w:color w:val="000000"/>
          <w:sz w:val="24"/>
          <w:szCs w:val="24"/>
        </w:rPr>
        <w:t>34.3%</w:t>
      </w:r>
      <w:r w:rsidR="00224087" w:rsidRPr="00AE67BF">
        <w:rPr>
          <w:rStyle w:val="Strong"/>
          <w:rFonts w:ascii="Times New Roman" w:hAnsi="Times New Roman" w:cs="Times New Roman"/>
          <w:b w:val="0"/>
          <w:color w:val="000000"/>
          <w:sz w:val="24"/>
          <w:szCs w:val="24"/>
        </w:rPr>
        <w:t>. There was a declining trend: the yearly average for the first half of this period was 36.7% and 32.0</w:t>
      </w:r>
      <w:r w:rsidR="008227E0" w:rsidRPr="00AE67BF">
        <w:rPr>
          <w:rStyle w:val="Strong"/>
          <w:rFonts w:ascii="Times New Roman" w:hAnsi="Times New Roman" w:cs="Times New Roman"/>
          <w:b w:val="0"/>
          <w:color w:val="000000"/>
          <w:sz w:val="24"/>
          <w:szCs w:val="24"/>
        </w:rPr>
        <w:t>%</w:t>
      </w:r>
      <w:r w:rsidR="00224087" w:rsidRPr="00AE67BF">
        <w:rPr>
          <w:rStyle w:val="Strong"/>
          <w:rFonts w:ascii="Times New Roman" w:hAnsi="Times New Roman" w:cs="Times New Roman"/>
          <w:b w:val="0"/>
          <w:color w:val="000000"/>
          <w:sz w:val="24"/>
          <w:szCs w:val="24"/>
        </w:rPr>
        <w:t xml:space="preserve"> for the second half.</w:t>
      </w:r>
      <w:r w:rsidR="00184C94">
        <w:rPr>
          <w:rStyle w:val="Strong"/>
          <w:rFonts w:ascii="Times New Roman" w:hAnsi="Times New Roman" w:cs="Times New Roman"/>
          <w:b w:val="0"/>
          <w:color w:val="000000"/>
          <w:sz w:val="24"/>
          <w:szCs w:val="24"/>
        </w:rPr>
        <w:t xml:space="preserve"> </w:t>
      </w:r>
    </w:p>
    <w:p w:rsidR="00184C94" w:rsidRPr="00184C94" w:rsidRDefault="00184C94" w:rsidP="00421B99">
      <w:pPr>
        <w:jc w:val="both"/>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 xml:space="preserve">For Scotland, the </w:t>
      </w:r>
      <w:r w:rsidRPr="00184C94">
        <w:rPr>
          <w:rStyle w:val="Strong"/>
          <w:rFonts w:ascii="Times New Roman" w:hAnsi="Times New Roman" w:cs="Times New Roman"/>
          <w:b w:val="0"/>
          <w:i/>
          <w:color w:val="000000"/>
          <w:sz w:val="24"/>
          <w:szCs w:val="24"/>
        </w:rPr>
        <w:t>Government and Expenditure and Revenues Scotland</w:t>
      </w:r>
      <w:r>
        <w:rPr>
          <w:rStyle w:val="Strong"/>
          <w:rFonts w:ascii="Times New Roman" w:hAnsi="Times New Roman" w:cs="Times New Roman"/>
          <w:b w:val="0"/>
          <w:color w:val="000000"/>
          <w:sz w:val="24"/>
          <w:szCs w:val="24"/>
        </w:rPr>
        <w:t xml:space="preserve"> (GERS) gives data for 2008/9 – 2012/13 that enable us to calculate the share of </w:t>
      </w:r>
      <w:r w:rsidR="00E269D7">
        <w:rPr>
          <w:rStyle w:val="Strong"/>
          <w:rFonts w:ascii="Times New Roman" w:hAnsi="Times New Roman" w:cs="Times New Roman"/>
          <w:b w:val="0"/>
          <w:color w:val="000000"/>
          <w:sz w:val="24"/>
          <w:szCs w:val="24"/>
        </w:rPr>
        <w:t xml:space="preserve">her </w:t>
      </w:r>
      <w:r>
        <w:rPr>
          <w:rStyle w:val="Strong"/>
          <w:rFonts w:ascii="Times New Roman" w:hAnsi="Times New Roman" w:cs="Times New Roman"/>
          <w:b w:val="0"/>
          <w:color w:val="000000"/>
          <w:sz w:val="24"/>
          <w:szCs w:val="24"/>
        </w:rPr>
        <w:t xml:space="preserve">revenues </w:t>
      </w:r>
      <w:r w:rsidR="005B2BC5">
        <w:rPr>
          <w:rStyle w:val="Strong"/>
          <w:rFonts w:ascii="Times New Roman" w:hAnsi="Times New Roman" w:cs="Times New Roman"/>
          <w:b w:val="0"/>
          <w:color w:val="000000"/>
          <w:sz w:val="24"/>
          <w:szCs w:val="24"/>
        </w:rPr>
        <w:t xml:space="preserve">(inclusive of </w:t>
      </w:r>
      <w:r w:rsidR="00E269D7">
        <w:rPr>
          <w:rStyle w:val="Strong"/>
          <w:rFonts w:ascii="Times New Roman" w:hAnsi="Times New Roman" w:cs="Times New Roman"/>
          <w:b w:val="0"/>
          <w:color w:val="000000"/>
          <w:sz w:val="24"/>
          <w:szCs w:val="24"/>
        </w:rPr>
        <w:t xml:space="preserve">those from </w:t>
      </w:r>
      <w:r w:rsidR="005B2BC5">
        <w:rPr>
          <w:rStyle w:val="Strong"/>
          <w:rFonts w:ascii="Times New Roman" w:hAnsi="Times New Roman" w:cs="Times New Roman"/>
          <w:b w:val="0"/>
          <w:color w:val="000000"/>
          <w:sz w:val="24"/>
          <w:szCs w:val="24"/>
        </w:rPr>
        <w:t xml:space="preserve">North Sea oil computed on the basis of Scotland’s geographical share) </w:t>
      </w:r>
      <w:r>
        <w:rPr>
          <w:rStyle w:val="Strong"/>
          <w:rFonts w:ascii="Times New Roman" w:hAnsi="Times New Roman" w:cs="Times New Roman"/>
          <w:b w:val="0"/>
          <w:color w:val="000000"/>
          <w:sz w:val="24"/>
          <w:szCs w:val="24"/>
        </w:rPr>
        <w:t xml:space="preserve">in Scotland’s Gross Value Added (GVA). This </w:t>
      </w:r>
      <w:r w:rsidR="00E269D7">
        <w:rPr>
          <w:rStyle w:val="Strong"/>
          <w:rFonts w:ascii="Times New Roman" w:hAnsi="Times New Roman" w:cs="Times New Roman"/>
          <w:b w:val="0"/>
          <w:color w:val="000000"/>
          <w:sz w:val="24"/>
          <w:szCs w:val="24"/>
        </w:rPr>
        <w:t xml:space="preserve">share </w:t>
      </w:r>
      <w:r>
        <w:rPr>
          <w:rStyle w:val="Strong"/>
          <w:rFonts w:ascii="Times New Roman" w:hAnsi="Times New Roman" w:cs="Times New Roman"/>
          <w:b w:val="0"/>
          <w:color w:val="000000"/>
          <w:sz w:val="24"/>
          <w:szCs w:val="24"/>
        </w:rPr>
        <w:t xml:space="preserve">averaged 36.5%, and fluctuated between 34.2% and 38.6%. (Expenditures averaged </w:t>
      </w:r>
      <w:r w:rsidR="003851EC">
        <w:rPr>
          <w:rStyle w:val="Strong"/>
          <w:rFonts w:ascii="Times New Roman" w:hAnsi="Times New Roman" w:cs="Times New Roman"/>
          <w:b w:val="0"/>
          <w:color w:val="000000"/>
          <w:sz w:val="24"/>
          <w:szCs w:val="24"/>
        </w:rPr>
        <w:t>42.7%</w:t>
      </w:r>
      <w:r w:rsidR="005B2BC5">
        <w:rPr>
          <w:rStyle w:val="Strong"/>
          <w:rFonts w:ascii="Times New Roman" w:hAnsi="Times New Roman" w:cs="Times New Roman"/>
          <w:b w:val="0"/>
          <w:color w:val="000000"/>
          <w:sz w:val="24"/>
          <w:szCs w:val="24"/>
        </w:rPr>
        <w:t xml:space="preserve"> of GVA over the same period.)</w:t>
      </w:r>
    </w:p>
    <w:p w:rsidR="002C505C" w:rsidRPr="00AE67BF" w:rsidRDefault="008227E0"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Secondly, we need to be convinced that this fiscal revolution would yield a significant improvement in economic growth and its distribution.</w:t>
      </w:r>
    </w:p>
    <w:p w:rsidR="00B8661E" w:rsidRPr="00AE67BF" w:rsidRDefault="00B8661E"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 xml:space="preserve">But before we address these two questions, </w:t>
      </w:r>
      <w:r w:rsidR="00E269D7">
        <w:rPr>
          <w:rStyle w:val="Strong"/>
          <w:rFonts w:ascii="Times New Roman" w:hAnsi="Times New Roman" w:cs="Times New Roman"/>
          <w:b w:val="0"/>
          <w:color w:val="000000"/>
          <w:sz w:val="24"/>
          <w:szCs w:val="24"/>
        </w:rPr>
        <w:t xml:space="preserve">we need to </w:t>
      </w:r>
      <w:r w:rsidRPr="00AE67BF">
        <w:rPr>
          <w:rStyle w:val="Strong"/>
          <w:rFonts w:ascii="Times New Roman" w:hAnsi="Times New Roman" w:cs="Times New Roman"/>
          <w:b w:val="0"/>
          <w:color w:val="000000"/>
          <w:sz w:val="24"/>
          <w:szCs w:val="24"/>
        </w:rPr>
        <w:t>clarify the nature and source of economic rent.</w:t>
      </w:r>
    </w:p>
    <w:p w:rsidR="00B8661E" w:rsidRPr="00AE67BF" w:rsidRDefault="00432E26" w:rsidP="00432E26">
      <w:pPr>
        <w:jc w:val="both"/>
        <w:rPr>
          <w:rStyle w:val="Strong"/>
          <w:rFonts w:ascii="Times New Roman" w:hAnsi="Times New Roman" w:cs="Times New Roman"/>
          <w:color w:val="000000"/>
          <w:sz w:val="24"/>
          <w:szCs w:val="24"/>
        </w:rPr>
      </w:pPr>
      <w:r w:rsidRPr="00AE67BF">
        <w:rPr>
          <w:rStyle w:val="Strong"/>
          <w:rFonts w:ascii="Times New Roman" w:hAnsi="Times New Roman" w:cs="Times New Roman"/>
          <w:color w:val="000000"/>
          <w:sz w:val="24"/>
          <w:szCs w:val="24"/>
        </w:rPr>
        <w:t xml:space="preserve">1.2: </w:t>
      </w:r>
      <w:r w:rsidR="00B8661E" w:rsidRPr="00AE67BF">
        <w:rPr>
          <w:rStyle w:val="Strong"/>
          <w:rFonts w:ascii="Times New Roman" w:hAnsi="Times New Roman" w:cs="Times New Roman"/>
          <w:color w:val="000000"/>
          <w:sz w:val="24"/>
          <w:szCs w:val="24"/>
        </w:rPr>
        <w:t>The nature and Source of Economic Rent</w:t>
      </w:r>
    </w:p>
    <w:p w:rsidR="0047245A" w:rsidRPr="00AE67BF" w:rsidRDefault="00ED2F68"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Following Adam Smith and David Ricardo, market forces – to the extent not obstructed by natural or man-made restrictions – determine</w:t>
      </w:r>
      <w:r w:rsidR="0047245A" w:rsidRPr="00AE67BF">
        <w:rPr>
          <w:rStyle w:val="Strong"/>
          <w:rFonts w:ascii="Times New Roman" w:hAnsi="Times New Roman" w:cs="Times New Roman"/>
          <w:b w:val="0"/>
          <w:color w:val="000000"/>
          <w:sz w:val="24"/>
          <w:szCs w:val="24"/>
        </w:rPr>
        <w:t>, through the interaction of supply and demand,</w:t>
      </w:r>
      <w:r w:rsidRPr="00AE67BF">
        <w:rPr>
          <w:rStyle w:val="Strong"/>
          <w:rFonts w:ascii="Times New Roman" w:hAnsi="Times New Roman" w:cs="Times New Roman"/>
          <w:b w:val="0"/>
          <w:color w:val="000000"/>
          <w:sz w:val="24"/>
          <w:szCs w:val="24"/>
        </w:rPr>
        <w:t xml:space="preserve"> the “going” wage rate </w:t>
      </w:r>
      <w:r w:rsidR="0047245A" w:rsidRPr="00AE67BF">
        <w:rPr>
          <w:rStyle w:val="Strong"/>
          <w:rFonts w:ascii="Times New Roman" w:hAnsi="Times New Roman" w:cs="Times New Roman"/>
          <w:b w:val="0"/>
          <w:color w:val="000000"/>
          <w:sz w:val="24"/>
          <w:szCs w:val="24"/>
        </w:rPr>
        <w:t xml:space="preserve">for labour </w:t>
      </w:r>
      <w:r w:rsidRPr="00AE67BF">
        <w:rPr>
          <w:rStyle w:val="Strong"/>
          <w:rFonts w:ascii="Times New Roman" w:hAnsi="Times New Roman" w:cs="Times New Roman"/>
          <w:b w:val="0"/>
          <w:color w:val="000000"/>
          <w:sz w:val="24"/>
          <w:szCs w:val="24"/>
        </w:rPr>
        <w:t xml:space="preserve">and the </w:t>
      </w:r>
      <w:r w:rsidR="00A8785F" w:rsidRPr="00AE67BF">
        <w:rPr>
          <w:rStyle w:val="Strong"/>
          <w:rFonts w:ascii="Times New Roman" w:hAnsi="Times New Roman" w:cs="Times New Roman"/>
          <w:b w:val="0"/>
          <w:color w:val="000000"/>
          <w:sz w:val="24"/>
          <w:szCs w:val="24"/>
        </w:rPr>
        <w:t xml:space="preserve">expected </w:t>
      </w:r>
      <w:r w:rsidRPr="00AE67BF">
        <w:rPr>
          <w:rStyle w:val="Strong"/>
          <w:rFonts w:ascii="Times New Roman" w:hAnsi="Times New Roman" w:cs="Times New Roman"/>
          <w:b w:val="0"/>
          <w:color w:val="000000"/>
          <w:sz w:val="24"/>
          <w:szCs w:val="24"/>
        </w:rPr>
        <w:t xml:space="preserve">“normal” return on </w:t>
      </w:r>
      <w:r w:rsidR="00A8785F" w:rsidRPr="00AE67BF">
        <w:rPr>
          <w:rStyle w:val="Strong"/>
          <w:rFonts w:ascii="Times New Roman" w:hAnsi="Times New Roman" w:cs="Times New Roman"/>
          <w:b w:val="0"/>
          <w:color w:val="000000"/>
          <w:sz w:val="24"/>
          <w:szCs w:val="24"/>
        </w:rPr>
        <w:t>capital</w:t>
      </w:r>
      <w:r w:rsidRPr="00AE67BF">
        <w:rPr>
          <w:rStyle w:val="Strong"/>
          <w:rFonts w:ascii="Times New Roman" w:hAnsi="Times New Roman" w:cs="Times New Roman"/>
          <w:b w:val="0"/>
          <w:color w:val="000000"/>
          <w:sz w:val="24"/>
          <w:szCs w:val="24"/>
        </w:rPr>
        <w:t xml:space="preserve">. </w:t>
      </w:r>
      <w:r w:rsidR="0047245A" w:rsidRPr="00AE67BF">
        <w:rPr>
          <w:rStyle w:val="Strong"/>
          <w:rFonts w:ascii="Times New Roman" w:hAnsi="Times New Roman" w:cs="Times New Roman"/>
          <w:b w:val="0"/>
          <w:color w:val="000000"/>
          <w:sz w:val="24"/>
          <w:szCs w:val="24"/>
        </w:rPr>
        <w:t xml:space="preserve">Labour and capital combine to produce goods and services at various geographic locations. On the least desirable land </w:t>
      </w:r>
      <w:r w:rsidR="00D6283E" w:rsidRPr="00AE67BF">
        <w:rPr>
          <w:rStyle w:val="Strong"/>
          <w:rFonts w:ascii="Times New Roman" w:hAnsi="Times New Roman" w:cs="Times New Roman"/>
          <w:b w:val="0"/>
          <w:color w:val="000000"/>
          <w:sz w:val="24"/>
          <w:szCs w:val="24"/>
        </w:rPr>
        <w:t xml:space="preserve">actually </w:t>
      </w:r>
      <w:r w:rsidR="0047245A" w:rsidRPr="00AE67BF">
        <w:rPr>
          <w:rStyle w:val="Strong"/>
          <w:rFonts w:ascii="Times New Roman" w:hAnsi="Times New Roman" w:cs="Times New Roman"/>
          <w:b w:val="0"/>
          <w:color w:val="000000"/>
          <w:sz w:val="24"/>
          <w:szCs w:val="24"/>
        </w:rPr>
        <w:t>in use, labour and capital produce just enough to earn the going wage and interest rate</w:t>
      </w:r>
      <w:r w:rsidR="00E839AA">
        <w:rPr>
          <w:rStyle w:val="Strong"/>
          <w:rFonts w:ascii="Times New Roman" w:hAnsi="Times New Roman" w:cs="Times New Roman"/>
          <w:b w:val="0"/>
          <w:color w:val="000000"/>
          <w:sz w:val="24"/>
          <w:szCs w:val="24"/>
        </w:rPr>
        <w:t>s</w:t>
      </w:r>
      <w:r w:rsidR="0047245A" w:rsidRPr="00AE67BF">
        <w:rPr>
          <w:rStyle w:val="Strong"/>
          <w:rFonts w:ascii="Times New Roman" w:hAnsi="Times New Roman" w:cs="Times New Roman"/>
          <w:b w:val="0"/>
          <w:color w:val="000000"/>
          <w:sz w:val="24"/>
          <w:szCs w:val="24"/>
        </w:rPr>
        <w:t xml:space="preserve">, with nothing left over to pay for land. This is at the ‘margin of cultivation’ on agricultural land. </w:t>
      </w:r>
    </w:p>
    <w:p w:rsidR="00C44FBD" w:rsidRPr="00AE67BF" w:rsidRDefault="0047245A"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 xml:space="preserve">At and beyond this margin, land is </w:t>
      </w:r>
      <w:r w:rsidR="00A8785F" w:rsidRPr="00AE67BF">
        <w:rPr>
          <w:rStyle w:val="Strong"/>
          <w:rFonts w:ascii="Times New Roman" w:hAnsi="Times New Roman" w:cs="Times New Roman"/>
          <w:b w:val="0"/>
          <w:color w:val="000000"/>
          <w:sz w:val="24"/>
          <w:szCs w:val="24"/>
        </w:rPr>
        <w:t xml:space="preserve">currently </w:t>
      </w:r>
      <w:r w:rsidRPr="00AE67BF">
        <w:rPr>
          <w:rStyle w:val="Strong"/>
          <w:rFonts w:ascii="Times New Roman" w:hAnsi="Times New Roman" w:cs="Times New Roman"/>
          <w:b w:val="0"/>
          <w:color w:val="000000"/>
          <w:sz w:val="24"/>
          <w:szCs w:val="24"/>
        </w:rPr>
        <w:t>free. Inside th</w:t>
      </w:r>
      <w:r w:rsidR="00A8785F" w:rsidRPr="00AE67BF">
        <w:rPr>
          <w:rStyle w:val="Strong"/>
          <w:rFonts w:ascii="Times New Roman" w:hAnsi="Times New Roman" w:cs="Times New Roman"/>
          <w:b w:val="0"/>
          <w:color w:val="000000"/>
          <w:sz w:val="24"/>
          <w:szCs w:val="24"/>
        </w:rPr>
        <w:t>e</w:t>
      </w:r>
      <w:r w:rsidRPr="00AE67BF">
        <w:rPr>
          <w:rStyle w:val="Strong"/>
          <w:rFonts w:ascii="Times New Roman" w:hAnsi="Times New Roman" w:cs="Times New Roman"/>
          <w:b w:val="0"/>
          <w:color w:val="000000"/>
          <w:sz w:val="24"/>
          <w:szCs w:val="24"/>
        </w:rPr>
        <w:t xml:space="preserve"> margin</w:t>
      </w:r>
      <w:r w:rsidR="00A8785F" w:rsidRPr="00AE67BF">
        <w:rPr>
          <w:rStyle w:val="Strong"/>
          <w:rFonts w:ascii="Times New Roman" w:hAnsi="Times New Roman" w:cs="Times New Roman"/>
          <w:b w:val="0"/>
          <w:color w:val="000000"/>
          <w:sz w:val="24"/>
          <w:szCs w:val="24"/>
        </w:rPr>
        <w:t xml:space="preserve"> there are natural and locational advantages that enable </w:t>
      </w:r>
      <w:r w:rsidRPr="00AE67BF">
        <w:rPr>
          <w:rStyle w:val="Strong"/>
          <w:rFonts w:ascii="Times New Roman" w:hAnsi="Times New Roman" w:cs="Times New Roman"/>
          <w:b w:val="0"/>
          <w:color w:val="000000"/>
          <w:sz w:val="24"/>
          <w:szCs w:val="24"/>
        </w:rPr>
        <w:t xml:space="preserve">labour and capital </w:t>
      </w:r>
      <w:r w:rsidR="00A8785F" w:rsidRPr="00AE67BF">
        <w:rPr>
          <w:rStyle w:val="Strong"/>
          <w:rFonts w:ascii="Times New Roman" w:hAnsi="Times New Roman" w:cs="Times New Roman"/>
          <w:b w:val="0"/>
          <w:color w:val="000000"/>
          <w:sz w:val="24"/>
          <w:szCs w:val="24"/>
        </w:rPr>
        <w:t xml:space="preserve">to produce more than at the margin. Competition for these </w:t>
      </w:r>
      <w:r w:rsidR="00B8661E" w:rsidRPr="00AE67BF">
        <w:rPr>
          <w:rStyle w:val="Strong"/>
          <w:rFonts w:ascii="Times New Roman" w:hAnsi="Times New Roman" w:cs="Times New Roman"/>
          <w:b w:val="0"/>
          <w:color w:val="000000"/>
          <w:sz w:val="24"/>
          <w:szCs w:val="24"/>
        </w:rPr>
        <w:t xml:space="preserve">better </w:t>
      </w:r>
      <w:r w:rsidR="00A8785F" w:rsidRPr="00AE67BF">
        <w:rPr>
          <w:rStyle w:val="Strong"/>
          <w:rFonts w:ascii="Times New Roman" w:hAnsi="Times New Roman" w:cs="Times New Roman"/>
          <w:b w:val="0"/>
          <w:color w:val="000000"/>
          <w:sz w:val="24"/>
          <w:szCs w:val="24"/>
        </w:rPr>
        <w:t xml:space="preserve">locations pushes their prices </w:t>
      </w:r>
      <w:r w:rsidR="0035044D">
        <w:rPr>
          <w:rStyle w:val="Strong"/>
          <w:rFonts w:ascii="Times New Roman" w:hAnsi="Times New Roman" w:cs="Times New Roman"/>
          <w:b w:val="0"/>
          <w:color w:val="000000"/>
          <w:sz w:val="24"/>
          <w:szCs w:val="24"/>
        </w:rPr>
        <w:t xml:space="preserve">and rents </w:t>
      </w:r>
      <w:r w:rsidR="00A8785F" w:rsidRPr="00AE67BF">
        <w:rPr>
          <w:rStyle w:val="Strong"/>
          <w:rFonts w:ascii="Times New Roman" w:hAnsi="Times New Roman" w:cs="Times New Roman"/>
          <w:b w:val="0"/>
          <w:color w:val="000000"/>
          <w:sz w:val="24"/>
          <w:szCs w:val="24"/>
        </w:rPr>
        <w:t>above zero. But as Ricardo put it, “Land is the free</w:t>
      </w:r>
      <w:r w:rsidR="00B8661E" w:rsidRPr="00AE67BF">
        <w:rPr>
          <w:rStyle w:val="Strong"/>
          <w:rFonts w:ascii="Times New Roman" w:hAnsi="Times New Roman" w:cs="Times New Roman"/>
          <w:b w:val="0"/>
          <w:color w:val="000000"/>
          <w:sz w:val="24"/>
          <w:szCs w:val="24"/>
        </w:rPr>
        <w:t xml:space="preserve"> gift of N</w:t>
      </w:r>
      <w:r w:rsidR="00A8785F" w:rsidRPr="00AE67BF">
        <w:rPr>
          <w:rStyle w:val="Strong"/>
          <w:rFonts w:ascii="Times New Roman" w:hAnsi="Times New Roman" w:cs="Times New Roman"/>
          <w:b w:val="0"/>
          <w:color w:val="000000"/>
          <w:sz w:val="24"/>
          <w:szCs w:val="24"/>
        </w:rPr>
        <w:t>ature”</w:t>
      </w:r>
      <w:r w:rsidR="00B8661E" w:rsidRPr="00AE67BF">
        <w:rPr>
          <w:rStyle w:val="Strong"/>
          <w:rFonts w:ascii="Times New Roman" w:hAnsi="Times New Roman" w:cs="Times New Roman"/>
          <w:b w:val="0"/>
          <w:color w:val="000000"/>
          <w:sz w:val="24"/>
          <w:szCs w:val="24"/>
        </w:rPr>
        <w:t xml:space="preserve">. It has had </w:t>
      </w:r>
      <w:r w:rsidR="00A8785F" w:rsidRPr="00AE67BF">
        <w:rPr>
          <w:rStyle w:val="Strong"/>
          <w:rFonts w:ascii="Times New Roman" w:hAnsi="Times New Roman" w:cs="Times New Roman"/>
          <w:b w:val="0"/>
          <w:color w:val="000000"/>
          <w:sz w:val="24"/>
          <w:szCs w:val="24"/>
        </w:rPr>
        <w:t>no labour costs of production</w:t>
      </w:r>
      <w:r w:rsidR="00B8661E" w:rsidRPr="00AE67BF">
        <w:rPr>
          <w:rStyle w:val="Strong"/>
          <w:rFonts w:ascii="Times New Roman" w:hAnsi="Times New Roman" w:cs="Times New Roman"/>
          <w:b w:val="0"/>
          <w:color w:val="000000"/>
          <w:sz w:val="24"/>
          <w:szCs w:val="24"/>
        </w:rPr>
        <w:t xml:space="preserve"> but it commands a price</w:t>
      </w:r>
      <w:r w:rsidR="00A8785F" w:rsidRPr="00AE67BF">
        <w:rPr>
          <w:rStyle w:val="Strong"/>
          <w:rFonts w:ascii="Times New Roman" w:hAnsi="Times New Roman" w:cs="Times New Roman"/>
          <w:b w:val="0"/>
          <w:color w:val="000000"/>
          <w:sz w:val="24"/>
          <w:szCs w:val="24"/>
        </w:rPr>
        <w:t xml:space="preserve">. Thus </w:t>
      </w:r>
      <w:r w:rsidR="00B8661E" w:rsidRPr="00AE67BF">
        <w:rPr>
          <w:rStyle w:val="Strong"/>
          <w:rFonts w:ascii="Times New Roman" w:hAnsi="Times New Roman" w:cs="Times New Roman"/>
          <w:b w:val="0"/>
          <w:color w:val="000000"/>
          <w:sz w:val="24"/>
          <w:szCs w:val="24"/>
        </w:rPr>
        <w:t>its</w:t>
      </w:r>
      <w:r w:rsidR="00A8785F" w:rsidRPr="00AE67BF">
        <w:rPr>
          <w:rStyle w:val="Strong"/>
          <w:rFonts w:ascii="Times New Roman" w:hAnsi="Times New Roman" w:cs="Times New Roman"/>
          <w:b w:val="0"/>
          <w:color w:val="000000"/>
          <w:sz w:val="24"/>
          <w:szCs w:val="24"/>
        </w:rPr>
        <w:t xml:space="preserve"> </w:t>
      </w:r>
      <w:r w:rsidR="00B8661E" w:rsidRPr="00AE67BF">
        <w:rPr>
          <w:rStyle w:val="Strong"/>
          <w:rFonts w:ascii="Times New Roman" w:hAnsi="Times New Roman" w:cs="Times New Roman"/>
          <w:b w:val="0"/>
          <w:color w:val="000000"/>
          <w:sz w:val="24"/>
          <w:szCs w:val="24"/>
        </w:rPr>
        <w:t>p</w:t>
      </w:r>
      <w:r w:rsidR="00A8785F" w:rsidRPr="00AE67BF">
        <w:rPr>
          <w:rStyle w:val="Strong"/>
          <w:rFonts w:ascii="Times New Roman" w:hAnsi="Times New Roman" w:cs="Times New Roman"/>
          <w:b w:val="0"/>
          <w:color w:val="000000"/>
          <w:sz w:val="24"/>
          <w:szCs w:val="24"/>
        </w:rPr>
        <w:t xml:space="preserve">rice is a pure </w:t>
      </w:r>
      <w:r w:rsidR="00B8661E" w:rsidRPr="00AE67BF">
        <w:rPr>
          <w:rStyle w:val="Strong"/>
          <w:rFonts w:ascii="Times New Roman" w:hAnsi="Times New Roman" w:cs="Times New Roman"/>
          <w:b w:val="0"/>
          <w:color w:val="000000"/>
          <w:sz w:val="24"/>
          <w:szCs w:val="24"/>
        </w:rPr>
        <w:t xml:space="preserve">economic </w:t>
      </w:r>
      <w:r w:rsidR="00A8785F" w:rsidRPr="00AE67BF">
        <w:rPr>
          <w:rStyle w:val="Strong"/>
          <w:rFonts w:ascii="Times New Roman" w:hAnsi="Times New Roman" w:cs="Times New Roman"/>
          <w:b w:val="0"/>
          <w:color w:val="000000"/>
          <w:sz w:val="24"/>
          <w:szCs w:val="24"/>
        </w:rPr>
        <w:t>surplus. Since land is fixed in supply</w:t>
      </w:r>
      <w:r w:rsidR="00B8661E" w:rsidRPr="00AE67BF">
        <w:rPr>
          <w:rStyle w:val="Strong"/>
          <w:rFonts w:ascii="Times New Roman" w:hAnsi="Times New Roman" w:cs="Times New Roman"/>
          <w:b w:val="0"/>
          <w:color w:val="000000"/>
          <w:sz w:val="24"/>
          <w:szCs w:val="24"/>
        </w:rPr>
        <w:t xml:space="preserve"> and location</w:t>
      </w:r>
      <w:r w:rsidR="00D6283E" w:rsidRPr="00AE67BF">
        <w:rPr>
          <w:rStyle w:val="Strong"/>
          <w:rFonts w:ascii="Times New Roman" w:hAnsi="Times New Roman" w:cs="Times New Roman"/>
          <w:b w:val="0"/>
          <w:color w:val="000000"/>
          <w:sz w:val="24"/>
          <w:szCs w:val="24"/>
        </w:rPr>
        <w:t xml:space="preserve">, no more can be produced </w:t>
      </w:r>
      <w:r w:rsidR="00B8661E" w:rsidRPr="00AE67BF">
        <w:rPr>
          <w:rStyle w:val="Strong"/>
          <w:rFonts w:ascii="Times New Roman" w:hAnsi="Times New Roman" w:cs="Times New Roman"/>
          <w:b w:val="0"/>
          <w:color w:val="000000"/>
          <w:sz w:val="24"/>
          <w:szCs w:val="24"/>
        </w:rPr>
        <w:t xml:space="preserve">or moved </w:t>
      </w:r>
      <w:r w:rsidR="00D6283E" w:rsidRPr="00AE67BF">
        <w:rPr>
          <w:rStyle w:val="Strong"/>
          <w:rFonts w:ascii="Times New Roman" w:hAnsi="Times New Roman" w:cs="Times New Roman"/>
          <w:b w:val="0"/>
          <w:color w:val="000000"/>
          <w:sz w:val="24"/>
          <w:szCs w:val="24"/>
        </w:rPr>
        <w:t xml:space="preserve">to </w:t>
      </w:r>
      <w:r w:rsidR="00D835F6" w:rsidRPr="00AE67BF">
        <w:rPr>
          <w:rStyle w:val="Strong"/>
          <w:rFonts w:ascii="Times New Roman" w:hAnsi="Times New Roman" w:cs="Times New Roman"/>
          <w:b w:val="0"/>
          <w:color w:val="000000"/>
          <w:sz w:val="24"/>
          <w:szCs w:val="24"/>
        </w:rPr>
        <w:t xml:space="preserve">reduce </w:t>
      </w:r>
      <w:r w:rsidR="00D6283E" w:rsidRPr="00AE67BF">
        <w:rPr>
          <w:rStyle w:val="Strong"/>
          <w:rFonts w:ascii="Times New Roman" w:hAnsi="Times New Roman" w:cs="Times New Roman"/>
          <w:b w:val="0"/>
          <w:color w:val="000000"/>
          <w:sz w:val="24"/>
          <w:szCs w:val="24"/>
        </w:rPr>
        <w:t xml:space="preserve">its price </w:t>
      </w:r>
      <w:r w:rsidR="00825E98" w:rsidRPr="00AE67BF">
        <w:rPr>
          <w:rStyle w:val="Strong"/>
          <w:rFonts w:ascii="Times New Roman" w:hAnsi="Times New Roman" w:cs="Times New Roman"/>
          <w:b w:val="0"/>
          <w:color w:val="000000"/>
          <w:sz w:val="24"/>
          <w:szCs w:val="24"/>
        </w:rPr>
        <w:t xml:space="preserve">when </w:t>
      </w:r>
      <w:r w:rsidR="00E1010E" w:rsidRPr="00AE67BF">
        <w:rPr>
          <w:rStyle w:val="Strong"/>
          <w:rFonts w:ascii="Times New Roman" w:hAnsi="Times New Roman" w:cs="Times New Roman"/>
          <w:b w:val="0"/>
          <w:color w:val="000000"/>
          <w:sz w:val="24"/>
          <w:szCs w:val="24"/>
        </w:rPr>
        <w:t xml:space="preserve">the pressure of demand pushes </w:t>
      </w:r>
      <w:r w:rsidR="00825E98" w:rsidRPr="00AE67BF">
        <w:rPr>
          <w:rStyle w:val="Strong"/>
          <w:rFonts w:ascii="Times New Roman" w:hAnsi="Times New Roman" w:cs="Times New Roman"/>
          <w:b w:val="0"/>
          <w:color w:val="000000"/>
          <w:sz w:val="24"/>
          <w:szCs w:val="24"/>
        </w:rPr>
        <w:t xml:space="preserve">this </w:t>
      </w:r>
      <w:r w:rsidR="00E1010E" w:rsidRPr="00AE67BF">
        <w:rPr>
          <w:rStyle w:val="Strong"/>
          <w:rFonts w:ascii="Times New Roman" w:hAnsi="Times New Roman" w:cs="Times New Roman"/>
          <w:b w:val="0"/>
          <w:color w:val="000000"/>
          <w:sz w:val="24"/>
          <w:szCs w:val="24"/>
        </w:rPr>
        <w:t xml:space="preserve">above </w:t>
      </w:r>
      <w:r w:rsidR="00D6283E" w:rsidRPr="00AE67BF">
        <w:rPr>
          <w:rStyle w:val="Strong"/>
          <w:rFonts w:ascii="Times New Roman" w:hAnsi="Times New Roman" w:cs="Times New Roman"/>
          <w:b w:val="0"/>
          <w:color w:val="000000"/>
          <w:sz w:val="24"/>
          <w:szCs w:val="24"/>
        </w:rPr>
        <w:t xml:space="preserve">its zero labour cost. </w:t>
      </w:r>
    </w:p>
    <w:p w:rsidR="00D835F6" w:rsidRPr="00AE67BF" w:rsidRDefault="00D6283E"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 xml:space="preserve">Contrast </w:t>
      </w:r>
      <w:r w:rsidR="00E1010E" w:rsidRPr="00AE67BF">
        <w:rPr>
          <w:rStyle w:val="Strong"/>
          <w:rFonts w:ascii="Times New Roman" w:hAnsi="Times New Roman" w:cs="Times New Roman"/>
          <w:b w:val="0"/>
          <w:color w:val="000000"/>
          <w:sz w:val="24"/>
          <w:szCs w:val="24"/>
        </w:rPr>
        <w:t xml:space="preserve">produced </w:t>
      </w:r>
      <w:r w:rsidRPr="00AE67BF">
        <w:rPr>
          <w:rStyle w:val="Strong"/>
          <w:rFonts w:ascii="Times New Roman" w:hAnsi="Times New Roman" w:cs="Times New Roman"/>
          <w:b w:val="0"/>
          <w:color w:val="000000"/>
          <w:sz w:val="24"/>
          <w:szCs w:val="24"/>
        </w:rPr>
        <w:t xml:space="preserve">goods and services: if their price exceeds their labour costs (including </w:t>
      </w:r>
      <w:r w:rsidR="00C44FBD" w:rsidRPr="00AE67BF">
        <w:rPr>
          <w:rStyle w:val="Strong"/>
          <w:rFonts w:ascii="Times New Roman" w:hAnsi="Times New Roman" w:cs="Times New Roman"/>
          <w:b w:val="0"/>
          <w:color w:val="000000"/>
          <w:sz w:val="24"/>
          <w:szCs w:val="24"/>
        </w:rPr>
        <w:t xml:space="preserve">the </w:t>
      </w:r>
      <w:r w:rsidRPr="00AE67BF">
        <w:rPr>
          <w:rStyle w:val="Strong"/>
          <w:rFonts w:ascii="Times New Roman" w:hAnsi="Times New Roman" w:cs="Times New Roman"/>
          <w:b w:val="0"/>
          <w:color w:val="000000"/>
          <w:sz w:val="24"/>
          <w:szCs w:val="24"/>
        </w:rPr>
        <w:t xml:space="preserve">indirect </w:t>
      </w:r>
      <w:r w:rsidR="00564802" w:rsidRPr="00AE67BF">
        <w:rPr>
          <w:rStyle w:val="Strong"/>
          <w:rFonts w:ascii="Times New Roman" w:hAnsi="Times New Roman" w:cs="Times New Roman"/>
          <w:b w:val="0"/>
          <w:color w:val="000000"/>
          <w:sz w:val="24"/>
          <w:szCs w:val="24"/>
        </w:rPr>
        <w:t xml:space="preserve">or “stored-up” </w:t>
      </w:r>
      <w:r w:rsidRPr="00AE67BF">
        <w:rPr>
          <w:rStyle w:val="Strong"/>
          <w:rFonts w:ascii="Times New Roman" w:hAnsi="Times New Roman" w:cs="Times New Roman"/>
          <w:b w:val="0"/>
          <w:color w:val="000000"/>
          <w:sz w:val="24"/>
          <w:szCs w:val="24"/>
        </w:rPr>
        <w:t xml:space="preserve">labour costs of man-made capital inputs), labour and capital </w:t>
      </w:r>
      <w:r w:rsidR="00E1010E" w:rsidRPr="00AE67BF">
        <w:rPr>
          <w:rStyle w:val="Strong"/>
          <w:rFonts w:ascii="Times New Roman" w:hAnsi="Times New Roman" w:cs="Times New Roman"/>
          <w:b w:val="0"/>
          <w:color w:val="000000"/>
          <w:sz w:val="24"/>
          <w:szCs w:val="24"/>
        </w:rPr>
        <w:t xml:space="preserve">can and </w:t>
      </w:r>
      <w:r w:rsidRPr="00AE67BF">
        <w:rPr>
          <w:rStyle w:val="Strong"/>
          <w:rFonts w:ascii="Times New Roman" w:hAnsi="Times New Roman" w:cs="Times New Roman"/>
          <w:b w:val="0"/>
          <w:color w:val="000000"/>
          <w:sz w:val="24"/>
          <w:szCs w:val="24"/>
        </w:rPr>
        <w:t xml:space="preserve">will move into those </w:t>
      </w:r>
      <w:r w:rsidR="0035044D">
        <w:rPr>
          <w:rStyle w:val="Strong"/>
          <w:rFonts w:ascii="Times New Roman" w:hAnsi="Times New Roman" w:cs="Times New Roman"/>
          <w:b w:val="0"/>
          <w:color w:val="000000"/>
          <w:sz w:val="24"/>
          <w:szCs w:val="24"/>
        </w:rPr>
        <w:t xml:space="preserve">activities </w:t>
      </w:r>
      <w:r w:rsidRPr="00AE67BF">
        <w:rPr>
          <w:rStyle w:val="Strong"/>
          <w:rFonts w:ascii="Times New Roman" w:hAnsi="Times New Roman" w:cs="Times New Roman"/>
          <w:b w:val="0"/>
          <w:color w:val="000000"/>
          <w:sz w:val="24"/>
          <w:szCs w:val="24"/>
        </w:rPr>
        <w:t xml:space="preserve">until </w:t>
      </w:r>
      <w:r w:rsidR="009C7F3B" w:rsidRPr="00AE67BF">
        <w:rPr>
          <w:rStyle w:val="Strong"/>
          <w:rFonts w:ascii="Times New Roman" w:hAnsi="Times New Roman" w:cs="Times New Roman"/>
          <w:b w:val="0"/>
          <w:color w:val="000000"/>
          <w:sz w:val="24"/>
          <w:szCs w:val="24"/>
        </w:rPr>
        <w:t xml:space="preserve">their </w:t>
      </w:r>
      <w:r w:rsidRPr="00AE67BF">
        <w:rPr>
          <w:rStyle w:val="Strong"/>
          <w:rFonts w:ascii="Times New Roman" w:hAnsi="Times New Roman" w:cs="Times New Roman"/>
          <w:b w:val="0"/>
          <w:color w:val="000000"/>
          <w:sz w:val="24"/>
          <w:szCs w:val="24"/>
        </w:rPr>
        <w:t>price</w:t>
      </w:r>
      <w:r w:rsidR="009C7F3B" w:rsidRPr="00AE67BF">
        <w:rPr>
          <w:rStyle w:val="Strong"/>
          <w:rFonts w:ascii="Times New Roman" w:hAnsi="Times New Roman" w:cs="Times New Roman"/>
          <w:b w:val="0"/>
          <w:color w:val="000000"/>
          <w:sz w:val="24"/>
          <w:szCs w:val="24"/>
        </w:rPr>
        <w:t xml:space="preserve">s </w:t>
      </w:r>
      <w:r w:rsidR="0035044D">
        <w:rPr>
          <w:rStyle w:val="Strong"/>
          <w:rFonts w:ascii="Times New Roman" w:hAnsi="Times New Roman" w:cs="Times New Roman"/>
          <w:b w:val="0"/>
          <w:color w:val="000000"/>
          <w:sz w:val="24"/>
          <w:szCs w:val="24"/>
        </w:rPr>
        <w:t>are reduced and excess profits eliminated</w:t>
      </w:r>
      <w:r w:rsidRPr="00AE67BF">
        <w:rPr>
          <w:rStyle w:val="Strong"/>
          <w:rFonts w:ascii="Times New Roman" w:hAnsi="Times New Roman" w:cs="Times New Roman"/>
          <w:b w:val="0"/>
          <w:color w:val="000000"/>
          <w:sz w:val="24"/>
          <w:szCs w:val="24"/>
        </w:rPr>
        <w:t xml:space="preserve">. </w:t>
      </w:r>
    </w:p>
    <w:p w:rsidR="00235A00" w:rsidRDefault="0035044D" w:rsidP="00421B99">
      <w:pPr>
        <w:jc w:val="both"/>
        <w:rPr>
          <w:rStyle w:val="Strong"/>
          <w:rFonts w:ascii="Times New Roman" w:hAnsi="Times New Roman" w:cs="Times New Roman"/>
          <w:b w:val="0"/>
          <w:color w:val="000000"/>
          <w:sz w:val="24"/>
          <w:szCs w:val="24"/>
        </w:rPr>
      </w:pPr>
      <w:r>
        <w:rPr>
          <w:rStyle w:val="Strong"/>
          <w:rFonts w:ascii="Times New Roman" w:hAnsi="Times New Roman" w:cs="Times New Roman"/>
          <w:b w:val="0"/>
          <w:color w:val="000000"/>
          <w:sz w:val="24"/>
          <w:szCs w:val="24"/>
        </w:rPr>
        <w:t>In the land market, t</w:t>
      </w:r>
      <w:r w:rsidR="00C44FBD" w:rsidRPr="00AE67BF">
        <w:rPr>
          <w:rStyle w:val="Strong"/>
          <w:rFonts w:ascii="Times New Roman" w:hAnsi="Times New Roman" w:cs="Times New Roman"/>
          <w:b w:val="0"/>
          <w:color w:val="000000"/>
          <w:sz w:val="24"/>
          <w:szCs w:val="24"/>
        </w:rPr>
        <w:t>he</w:t>
      </w:r>
      <w:r w:rsidR="00D835F6" w:rsidRPr="00AE67BF">
        <w:rPr>
          <w:rStyle w:val="Strong"/>
          <w:rFonts w:ascii="Times New Roman" w:hAnsi="Times New Roman" w:cs="Times New Roman"/>
          <w:b w:val="0"/>
          <w:color w:val="000000"/>
          <w:sz w:val="24"/>
          <w:szCs w:val="24"/>
        </w:rPr>
        <w:t xml:space="preserve"> rent that each location commands is </w:t>
      </w:r>
      <w:r w:rsidR="00825E98" w:rsidRPr="00AE67BF">
        <w:rPr>
          <w:rStyle w:val="Strong"/>
          <w:rFonts w:ascii="Times New Roman" w:hAnsi="Times New Roman" w:cs="Times New Roman"/>
          <w:b w:val="0"/>
          <w:color w:val="000000"/>
          <w:sz w:val="24"/>
          <w:szCs w:val="24"/>
        </w:rPr>
        <w:t xml:space="preserve">the difference between the unit </w:t>
      </w:r>
      <w:r w:rsidR="009C7F3B" w:rsidRPr="00AE67BF">
        <w:rPr>
          <w:rStyle w:val="Strong"/>
          <w:rFonts w:ascii="Times New Roman" w:hAnsi="Times New Roman" w:cs="Times New Roman"/>
          <w:b w:val="0"/>
          <w:color w:val="000000"/>
          <w:sz w:val="24"/>
          <w:szCs w:val="24"/>
        </w:rPr>
        <w:t xml:space="preserve">labour </w:t>
      </w:r>
      <w:r w:rsidR="00825E98" w:rsidRPr="00AE67BF">
        <w:rPr>
          <w:rStyle w:val="Strong"/>
          <w:rFonts w:ascii="Times New Roman" w:hAnsi="Times New Roman" w:cs="Times New Roman"/>
          <w:b w:val="0"/>
          <w:color w:val="000000"/>
          <w:sz w:val="24"/>
          <w:szCs w:val="24"/>
        </w:rPr>
        <w:t>cost</w:t>
      </w:r>
      <w:r w:rsidR="009C7F3B" w:rsidRPr="00AE67BF">
        <w:rPr>
          <w:rStyle w:val="Strong"/>
          <w:rFonts w:ascii="Times New Roman" w:hAnsi="Times New Roman" w:cs="Times New Roman"/>
          <w:b w:val="0"/>
          <w:color w:val="000000"/>
          <w:sz w:val="24"/>
          <w:szCs w:val="24"/>
        </w:rPr>
        <w:t>s</w:t>
      </w:r>
      <w:r w:rsidR="00825E98" w:rsidRPr="00AE67BF">
        <w:rPr>
          <w:rStyle w:val="Strong"/>
          <w:rFonts w:ascii="Times New Roman" w:hAnsi="Times New Roman" w:cs="Times New Roman"/>
          <w:b w:val="0"/>
          <w:color w:val="000000"/>
          <w:sz w:val="24"/>
          <w:szCs w:val="24"/>
        </w:rPr>
        <w:t xml:space="preserve"> </w:t>
      </w:r>
      <w:r w:rsidR="00C44FBD" w:rsidRPr="00AE67BF">
        <w:rPr>
          <w:rStyle w:val="Strong"/>
          <w:rFonts w:ascii="Times New Roman" w:hAnsi="Times New Roman" w:cs="Times New Roman"/>
          <w:b w:val="0"/>
          <w:color w:val="000000"/>
          <w:sz w:val="24"/>
          <w:szCs w:val="24"/>
        </w:rPr>
        <w:t xml:space="preserve">on </w:t>
      </w:r>
      <w:r w:rsidR="00825E98" w:rsidRPr="00AE67BF">
        <w:rPr>
          <w:rStyle w:val="Strong"/>
          <w:rFonts w:ascii="Times New Roman" w:hAnsi="Times New Roman" w:cs="Times New Roman"/>
          <w:b w:val="0"/>
          <w:color w:val="000000"/>
          <w:sz w:val="24"/>
          <w:szCs w:val="24"/>
        </w:rPr>
        <w:t xml:space="preserve">marginal (no-rent) land and </w:t>
      </w:r>
      <w:r w:rsidR="009C7F3B" w:rsidRPr="00AE67BF">
        <w:rPr>
          <w:rStyle w:val="Strong"/>
          <w:rFonts w:ascii="Times New Roman" w:hAnsi="Times New Roman" w:cs="Times New Roman"/>
          <w:b w:val="0"/>
          <w:color w:val="000000"/>
          <w:sz w:val="24"/>
          <w:szCs w:val="24"/>
        </w:rPr>
        <w:t xml:space="preserve">the lower </w:t>
      </w:r>
      <w:r w:rsidR="00825E98" w:rsidRPr="00AE67BF">
        <w:rPr>
          <w:rStyle w:val="Strong"/>
          <w:rFonts w:ascii="Times New Roman" w:hAnsi="Times New Roman" w:cs="Times New Roman"/>
          <w:b w:val="0"/>
          <w:color w:val="000000"/>
          <w:sz w:val="24"/>
          <w:szCs w:val="24"/>
        </w:rPr>
        <w:t>unit cost</w:t>
      </w:r>
      <w:r w:rsidR="009C7F3B" w:rsidRPr="00AE67BF">
        <w:rPr>
          <w:rStyle w:val="Strong"/>
          <w:rFonts w:ascii="Times New Roman" w:hAnsi="Times New Roman" w:cs="Times New Roman"/>
          <w:b w:val="0"/>
          <w:color w:val="000000"/>
          <w:sz w:val="24"/>
          <w:szCs w:val="24"/>
        </w:rPr>
        <w:t>s</w:t>
      </w:r>
      <w:r w:rsidR="00825E98" w:rsidRPr="00AE67BF">
        <w:rPr>
          <w:rStyle w:val="Strong"/>
          <w:rFonts w:ascii="Times New Roman" w:hAnsi="Times New Roman" w:cs="Times New Roman"/>
          <w:b w:val="0"/>
          <w:color w:val="000000"/>
          <w:sz w:val="24"/>
          <w:szCs w:val="24"/>
        </w:rPr>
        <w:t xml:space="preserve"> on intra-marginal l</w:t>
      </w:r>
      <w:r w:rsidR="00C44FBD" w:rsidRPr="00AE67BF">
        <w:rPr>
          <w:rStyle w:val="Strong"/>
          <w:rFonts w:ascii="Times New Roman" w:hAnsi="Times New Roman" w:cs="Times New Roman"/>
          <w:b w:val="0"/>
          <w:color w:val="000000"/>
          <w:sz w:val="24"/>
          <w:szCs w:val="24"/>
        </w:rPr>
        <w:t>ocations</w:t>
      </w:r>
      <w:r>
        <w:rPr>
          <w:rStyle w:val="Strong"/>
          <w:rFonts w:ascii="Times New Roman" w:hAnsi="Times New Roman" w:cs="Times New Roman"/>
          <w:b w:val="0"/>
          <w:color w:val="000000"/>
          <w:sz w:val="24"/>
          <w:szCs w:val="24"/>
        </w:rPr>
        <w:t xml:space="preserve"> </w:t>
      </w:r>
      <w:r>
        <w:rPr>
          <w:rStyle w:val="Strong"/>
          <w:rFonts w:ascii="Times New Roman" w:hAnsi="Times New Roman" w:cs="Times New Roman"/>
          <w:b w:val="0"/>
          <w:color w:val="000000"/>
          <w:sz w:val="24"/>
          <w:szCs w:val="24"/>
        </w:rPr>
        <w:lastRenderedPageBreak/>
        <w:t>where the productivity of labour and capital is higher</w:t>
      </w:r>
      <w:r w:rsidR="00825E98" w:rsidRPr="00AE67BF">
        <w:rPr>
          <w:rStyle w:val="Strong"/>
          <w:rFonts w:ascii="Times New Roman" w:hAnsi="Times New Roman" w:cs="Times New Roman"/>
          <w:b w:val="0"/>
          <w:color w:val="000000"/>
          <w:sz w:val="24"/>
          <w:szCs w:val="24"/>
        </w:rPr>
        <w:t>.</w:t>
      </w:r>
      <w:r w:rsidR="00D835F6" w:rsidRPr="00AE67BF">
        <w:rPr>
          <w:rStyle w:val="Strong"/>
          <w:rFonts w:ascii="Times New Roman" w:hAnsi="Times New Roman" w:cs="Times New Roman"/>
          <w:b w:val="0"/>
          <w:color w:val="000000"/>
          <w:sz w:val="24"/>
          <w:szCs w:val="24"/>
        </w:rPr>
        <w:t xml:space="preserve"> Competition exerts an equalising tendency on product prices; mobility exerts an equalising tendency on the prices of labour and capital. Land, however, being fixed in supply and place, has no similar tendency toward an equal price. </w:t>
      </w:r>
      <w:r w:rsidR="00235A00">
        <w:rPr>
          <w:rStyle w:val="Strong"/>
          <w:rFonts w:ascii="Times New Roman" w:hAnsi="Times New Roman" w:cs="Times New Roman"/>
          <w:b w:val="0"/>
          <w:color w:val="000000"/>
          <w:sz w:val="24"/>
          <w:szCs w:val="24"/>
        </w:rPr>
        <w:t>Pure l</w:t>
      </w:r>
      <w:r w:rsidR="00C44FBD" w:rsidRPr="00AE67BF">
        <w:rPr>
          <w:rStyle w:val="Strong"/>
          <w:rFonts w:ascii="Times New Roman" w:hAnsi="Times New Roman" w:cs="Times New Roman"/>
          <w:b w:val="0"/>
          <w:color w:val="000000"/>
          <w:sz w:val="24"/>
          <w:szCs w:val="24"/>
        </w:rPr>
        <w:t xml:space="preserve">and </w:t>
      </w:r>
      <w:r w:rsidR="00D835F6" w:rsidRPr="00AE67BF">
        <w:rPr>
          <w:rStyle w:val="Strong"/>
          <w:rFonts w:ascii="Times New Roman" w:hAnsi="Times New Roman" w:cs="Times New Roman"/>
          <w:b w:val="0"/>
          <w:color w:val="000000"/>
          <w:sz w:val="24"/>
          <w:szCs w:val="24"/>
        </w:rPr>
        <w:t>price</w:t>
      </w:r>
      <w:r w:rsidR="00C44FBD" w:rsidRPr="00AE67BF">
        <w:rPr>
          <w:rStyle w:val="Strong"/>
          <w:rFonts w:ascii="Times New Roman" w:hAnsi="Times New Roman" w:cs="Times New Roman"/>
          <w:b w:val="0"/>
          <w:color w:val="000000"/>
          <w:sz w:val="24"/>
          <w:szCs w:val="24"/>
        </w:rPr>
        <w:t>s</w:t>
      </w:r>
      <w:r w:rsidR="00D835F6" w:rsidRPr="00AE67BF">
        <w:rPr>
          <w:rStyle w:val="Strong"/>
          <w:rFonts w:ascii="Times New Roman" w:hAnsi="Times New Roman" w:cs="Times New Roman"/>
          <w:b w:val="0"/>
          <w:color w:val="000000"/>
          <w:sz w:val="24"/>
          <w:szCs w:val="24"/>
        </w:rPr>
        <w:t xml:space="preserve"> and </w:t>
      </w:r>
      <w:r w:rsidR="00235A00">
        <w:rPr>
          <w:rStyle w:val="Strong"/>
          <w:rFonts w:ascii="Times New Roman" w:hAnsi="Times New Roman" w:cs="Times New Roman"/>
          <w:b w:val="0"/>
          <w:color w:val="000000"/>
          <w:sz w:val="24"/>
          <w:szCs w:val="24"/>
        </w:rPr>
        <w:t xml:space="preserve">their </w:t>
      </w:r>
      <w:r w:rsidR="00D835F6" w:rsidRPr="00AE67BF">
        <w:rPr>
          <w:rStyle w:val="Strong"/>
          <w:rFonts w:ascii="Times New Roman" w:hAnsi="Times New Roman" w:cs="Times New Roman"/>
          <w:b w:val="0"/>
          <w:color w:val="000000"/>
          <w:sz w:val="24"/>
          <w:szCs w:val="24"/>
        </w:rPr>
        <w:t>annual rent</w:t>
      </w:r>
      <w:r w:rsidR="00235A00">
        <w:rPr>
          <w:rStyle w:val="Strong"/>
          <w:rFonts w:ascii="Times New Roman" w:hAnsi="Times New Roman" w:cs="Times New Roman"/>
          <w:b w:val="0"/>
          <w:color w:val="000000"/>
          <w:sz w:val="24"/>
          <w:szCs w:val="24"/>
        </w:rPr>
        <w:t>s</w:t>
      </w:r>
      <w:r w:rsidR="00D835F6" w:rsidRPr="00AE67BF">
        <w:rPr>
          <w:rStyle w:val="Strong"/>
          <w:rFonts w:ascii="Times New Roman" w:hAnsi="Times New Roman" w:cs="Times New Roman"/>
          <w:b w:val="0"/>
          <w:color w:val="000000"/>
          <w:sz w:val="24"/>
          <w:szCs w:val="24"/>
        </w:rPr>
        <w:t xml:space="preserve"> </w:t>
      </w:r>
      <w:r w:rsidR="00235A00">
        <w:rPr>
          <w:rStyle w:val="Strong"/>
          <w:rFonts w:ascii="Times New Roman" w:hAnsi="Times New Roman" w:cs="Times New Roman"/>
          <w:b w:val="0"/>
          <w:color w:val="000000"/>
          <w:sz w:val="24"/>
          <w:szCs w:val="24"/>
        </w:rPr>
        <w:t xml:space="preserve">(abstracting from what is paid for any buildings thereon) </w:t>
      </w:r>
      <w:r w:rsidR="00D835F6" w:rsidRPr="00AE67BF">
        <w:rPr>
          <w:rStyle w:val="Strong"/>
          <w:rFonts w:ascii="Times New Roman" w:hAnsi="Times New Roman" w:cs="Times New Roman"/>
          <w:b w:val="0"/>
          <w:color w:val="000000"/>
          <w:sz w:val="24"/>
          <w:szCs w:val="24"/>
        </w:rPr>
        <w:t xml:space="preserve">are </w:t>
      </w:r>
      <w:r w:rsidR="00C44FBD" w:rsidRPr="00AE67BF">
        <w:rPr>
          <w:rStyle w:val="Strong"/>
          <w:rFonts w:ascii="Times New Roman" w:hAnsi="Times New Roman" w:cs="Times New Roman"/>
          <w:b w:val="0"/>
          <w:color w:val="000000"/>
          <w:sz w:val="24"/>
          <w:szCs w:val="24"/>
        </w:rPr>
        <w:t xml:space="preserve">therefore </w:t>
      </w:r>
      <w:r w:rsidR="00D835F6" w:rsidRPr="00AE67BF">
        <w:rPr>
          <w:rStyle w:val="Strong"/>
          <w:rFonts w:ascii="Times New Roman" w:hAnsi="Times New Roman" w:cs="Times New Roman"/>
          <w:b w:val="0"/>
          <w:color w:val="000000"/>
          <w:sz w:val="24"/>
          <w:szCs w:val="24"/>
        </w:rPr>
        <w:t>entirely demand-driven.</w:t>
      </w:r>
      <w:r w:rsidR="00E1010E" w:rsidRPr="00AE67BF">
        <w:rPr>
          <w:rStyle w:val="Strong"/>
          <w:rFonts w:ascii="Times New Roman" w:hAnsi="Times New Roman" w:cs="Times New Roman"/>
          <w:b w:val="0"/>
          <w:color w:val="000000"/>
          <w:sz w:val="24"/>
          <w:szCs w:val="24"/>
        </w:rPr>
        <w:t xml:space="preserve"> </w:t>
      </w:r>
    </w:p>
    <w:p w:rsidR="008227E0" w:rsidRPr="00AE67BF" w:rsidRDefault="00E1010E" w:rsidP="00421B99">
      <w:pPr>
        <w:jc w:val="both"/>
        <w:rPr>
          <w:rStyle w:val="Strong"/>
          <w:rFonts w:ascii="Times New Roman" w:hAnsi="Times New Roman" w:cs="Times New Roman"/>
          <w:b w:val="0"/>
          <w:color w:val="000000"/>
          <w:sz w:val="24"/>
          <w:szCs w:val="24"/>
        </w:rPr>
      </w:pPr>
      <w:r w:rsidRPr="00AE67BF">
        <w:rPr>
          <w:rStyle w:val="Strong"/>
          <w:rFonts w:ascii="Times New Roman" w:hAnsi="Times New Roman" w:cs="Times New Roman"/>
          <w:b w:val="0"/>
          <w:color w:val="000000"/>
          <w:sz w:val="24"/>
          <w:szCs w:val="24"/>
        </w:rPr>
        <w:t xml:space="preserve">Goods and services are entirely the product of (direct and indirect) labour, but labour gets only its marginal, not its average product. </w:t>
      </w:r>
      <w:r w:rsidR="00F54BE2" w:rsidRPr="00AE67BF">
        <w:rPr>
          <w:rStyle w:val="Strong"/>
          <w:rFonts w:ascii="Times New Roman" w:hAnsi="Times New Roman" w:cs="Times New Roman"/>
          <w:b w:val="0"/>
          <w:color w:val="000000"/>
          <w:sz w:val="24"/>
          <w:szCs w:val="24"/>
        </w:rPr>
        <w:t xml:space="preserve">The difference is what the owners of land </w:t>
      </w:r>
      <w:r w:rsidR="00235A00">
        <w:rPr>
          <w:rStyle w:val="Strong"/>
          <w:rFonts w:ascii="Times New Roman" w:hAnsi="Times New Roman" w:cs="Times New Roman"/>
          <w:b w:val="0"/>
          <w:color w:val="000000"/>
          <w:sz w:val="24"/>
          <w:szCs w:val="24"/>
        </w:rPr>
        <w:t>– the passive factor of production – cap</w:t>
      </w:r>
      <w:r w:rsidR="00F54BE2" w:rsidRPr="00AE67BF">
        <w:rPr>
          <w:rStyle w:val="Strong"/>
          <w:rFonts w:ascii="Times New Roman" w:hAnsi="Times New Roman" w:cs="Times New Roman"/>
          <w:b w:val="0"/>
          <w:color w:val="000000"/>
          <w:sz w:val="24"/>
          <w:szCs w:val="24"/>
        </w:rPr>
        <w:t xml:space="preserve">ture from labour in the form of </w:t>
      </w:r>
      <w:r w:rsidRPr="00AE67BF">
        <w:rPr>
          <w:rStyle w:val="Strong"/>
          <w:rFonts w:ascii="Times New Roman" w:hAnsi="Times New Roman" w:cs="Times New Roman"/>
          <w:b w:val="0"/>
          <w:color w:val="000000"/>
          <w:sz w:val="24"/>
          <w:szCs w:val="24"/>
        </w:rPr>
        <w:t>rent. This is an income entirely analogous to the income of a monopolist who is able to prevent competition</w:t>
      </w:r>
      <w:r w:rsidR="00F54BE2" w:rsidRPr="00AE67BF">
        <w:rPr>
          <w:rStyle w:val="Strong"/>
          <w:rFonts w:ascii="Times New Roman" w:hAnsi="Times New Roman" w:cs="Times New Roman"/>
          <w:b w:val="0"/>
          <w:color w:val="000000"/>
          <w:sz w:val="24"/>
          <w:szCs w:val="24"/>
        </w:rPr>
        <w:t xml:space="preserve">. He unfairly obtains </w:t>
      </w:r>
      <w:r w:rsidRPr="00AE67BF">
        <w:rPr>
          <w:rStyle w:val="Strong"/>
          <w:rFonts w:ascii="Times New Roman" w:hAnsi="Times New Roman" w:cs="Times New Roman"/>
          <w:b w:val="0"/>
          <w:color w:val="000000"/>
          <w:sz w:val="24"/>
          <w:szCs w:val="24"/>
        </w:rPr>
        <w:t xml:space="preserve">excess profits </w:t>
      </w:r>
      <w:r w:rsidR="00F54BE2" w:rsidRPr="00AE67BF">
        <w:rPr>
          <w:rStyle w:val="Strong"/>
          <w:rFonts w:ascii="Times New Roman" w:hAnsi="Times New Roman" w:cs="Times New Roman"/>
          <w:b w:val="0"/>
          <w:color w:val="000000"/>
          <w:sz w:val="24"/>
          <w:szCs w:val="24"/>
        </w:rPr>
        <w:t xml:space="preserve">because he is left free to charge </w:t>
      </w:r>
      <w:r w:rsidRPr="00AE67BF">
        <w:rPr>
          <w:rStyle w:val="Strong"/>
          <w:rFonts w:ascii="Times New Roman" w:hAnsi="Times New Roman" w:cs="Times New Roman"/>
          <w:b w:val="0"/>
          <w:color w:val="000000"/>
          <w:sz w:val="24"/>
          <w:szCs w:val="24"/>
        </w:rPr>
        <w:t xml:space="preserve">prices that exceed </w:t>
      </w:r>
      <w:r w:rsidR="00F54BE2" w:rsidRPr="00AE67BF">
        <w:rPr>
          <w:rStyle w:val="Strong"/>
          <w:rFonts w:ascii="Times New Roman" w:hAnsi="Times New Roman" w:cs="Times New Roman"/>
          <w:b w:val="0"/>
          <w:color w:val="000000"/>
          <w:sz w:val="24"/>
          <w:szCs w:val="24"/>
        </w:rPr>
        <w:t xml:space="preserve">his costs of </w:t>
      </w:r>
      <w:r w:rsidRPr="00AE67BF">
        <w:rPr>
          <w:rStyle w:val="Strong"/>
          <w:rFonts w:ascii="Times New Roman" w:hAnsi="Times New Roman" w:cs="Times New Roman"/>
          <w:b w:val="0"/>
          <w:color w:val="000000"/>
          <w:sz w:val="24"/>
          <w:szCs w:val="24"/>
        </w:rPr>
        <w:t>production.</w:t>
      </w:r>
    </w:p>
    <w:p w:rsidR="00C44FBD" w:rsidRPr="00432E26" w:rsidRDefault="00432E26" w:rsidP="00432E26">
      <w:pPr>
        <w:jc w:val="both"/>
        <w:rPr>
          <w:rStyle w:val="Strong"/>
          <w:rFonts w:cstheme="minorHAnsi"/>
          <w:color w:val="000000"/>
          <w:sz w:val="24"/>
          <w:szCs w:val="24"/>
        </w:rPr>
      </w:pPr>
      <w:r>
        <w:rPr>
          <w:rStyle w:val="Strong"/>
          <w:rFonts w:cstheme="minorHAnsi"/>
          <w:color w:val="000000"/>
          <w:sz w:val="24"/>
          <w:szCs w:val="24"/>
        </w:rPr>
        <w:t xml:space="preserve">2. </w:t>
      </w:r>
      <w:r w:rsidR="00C44FBD" w:rsidRPr="00432E26">
        <w:rPr>
          <w:rStyle w:val="Strong"/>
          <w:rFonts w:cstheme="minorHAnsi"/>
          <w:color w:val="000000"/>
          <w:sz w:val="24"/>
          <w:szCs w:val="24"/>
        </w:rPr>
        <w:t>The Adequacy of Rents</w:t>
      </w:r>
    </w:p>
    <w:p w:rsidR="00282EB5" w:rsidRPr="00223A98" w:rsidRDefault="00E07310" w:rsidP="00421B99">
      <w:pPr>
        <w:jc w:val="both"/>
        <w:rPr>
          <w:rStyle w:val="Strong"/>
          <w:rFonts w:cstheme="minorHAnsi"/>
          <w:color w:val="000000"/>
          <w:sz w:val="24"/>
          <w:szCs w:val="24"/>
        </w:rPr>
      </w:pPr>
      <w:r w:rsidRPr="00223A98">
        <w:rPr>
          <w:rStyle w:val="Strong"/>
          <w:rFonts w:cstheme="minorHAnsi"/>
          <w:b w:val="0"/>
          <w:color w:val="000000"/>
          <w:sz w:val="24"/>
          <w:szCs w:val="24"/>
        </w:rPr>
        <w:t>Table 8.2 of the UK National Income Accounts gives</w:t>
      </w:r>
      <w:r w:rsidRPr="00223A98">
        <w:rPr>
          <w:rStyle w:val="Strong"/>
          <w:rFonts w:cstheme="minorHAnsi"/>
          <w:color w:val="000000"/>
          <w:sz w:val="24"/>
          <w:szCs w:val="24"/>
        </w:rPr>
        <w:t xml:space="preserve"> </w:t>
      </w:r>
      <w:r w:rsidRPr="00223A98">
        <w:rPr>
          <w:rFonts w:cstheme="minorHAnsi"/>
          <w:bCs/>
          <w:sz w:val="24"/>
          <w:szCs w:val="24"/>
        </w:rPr>
        <w:t xml:space="preserve">GDP </w:t>
      </w:r>
      <w:r w:rsidR="00AF3BDC" w:rsidRPr="00223A98">
        <w:rPr>
          <w:rFonts w:cstheme="minorHAnsi"/>
          <w:bCs/>
          <w:sz w:val="24"/>
          <w:szCs w:val="24"/>
        </w:rPr>
        <w:t xml:space="preserve">in 2011 </w:t>
      </w:r>
      <w:r w:rsidR="006134CB" w:rsidRPr="00223A98">
        <w:rPr>
          <w:rFonts w:cstheme="minorHAnsi"/>
          <w:bCs/>
          <w:sz w:val="24"/>
          <w:szCs w:val="24"/>
        </w:rPr>
        <w:t xml:space="preserve">at market prices </w:t>
      </w:r>
      <w:r w:rsidR="00936AEF" w:rsidRPr="00223A98">
        <w:rPr>
          <w:rFonts w:cstheme="minorHAnsi"/>
          <w:bCs/>
          <w:sz w:val="24"/>
          <w:szCs w:val="24"/>
        </w:rPr>
        <w:t xml:space="preserve">(£1,537bn) </w:t>
      </w:r>
      <w:r w:rsidRPr="00223A98">
        <w:rPr>
          <w:rFonts w:cstheme="minorHAnsi"/>
          <w:bCs/>
          <w:sz w:val="24"/>
          <w:szCs w:val="24"/>
        </w:rPr>
        <w:t>by category of income</w:t>
      </w:r>
      <w:r w:rsidR="006134CB" w:rsidRPr="00223A98">
        <w:rPr>
          <w:rFonts w:cstheme="minorHAnsi"/>
          <w:bCs/>
          <w:sz w:val="24"/>
          <w:szCs w:val="24"/>
        </w:rPr>
        <w:t xml:space="preserve"> </w:t>
      </w:r>
      <w:r w:rsidR="00936AEF" w:rsidRPr="00223A98">
        <w:rPr>
          <w:rFonts w:cstheme="minorHAnsi"/>
          <w:bCs/>
          <w:sz w:val="24"/>
          <w:szCs w:val="24"/>
        </w:rPr>
        <w:t xml:space="preserve">and </w:t>
      </w:r>
      <w:r w:rsidR="00015117">
        <w:rPr>
          <w:rFonts w:cstheme="minorHAnsi"/>
          <w:bCs/>
          <w:sz w:val="24"/>
          <w:szCs w:val="24"/>
        </w:rPr>
        <w:t xml:space="preserve">by </w:t>
      </w:r>
      <w:r w:rsidR="00936AEF" w:rsidRPr="00223A98">
        <w:rPr>
          <w:rFonts w:cstheme="minorHAnsi"/>
          <w:bCs/>
          <w:sz w:val="24"/>
          <w:szCs w:val="24"/>
        </w:rPr>
        <w:t>its percentage composition, thus</w:t>
      </w:r>
      <w:r w:rsidR="009A6213" w:rsidRPr="00223A98">
        <w:rPr>
          <w:rFonts w:cstheme="minorHAnsi"/>
          <w:bCs/>
          <w:sz w:val="24"/>
          <w:szCs w:val="24"/>
        </w:rPr>
        <w:t>:</w:t>
      </w:r>
    </w:p>
    <w:p w:rsidR="00282EB5" w:rsidRPr="008D61C2" w:rsidRDefault="00282EB5" w:rsidP="009A6213">
      <w:pPr>
        <w:pStyle w:val="NoSpacing"/>
        <w:ind w:left="567"/>
        <w:rPr>
          <w:rStyle w:val="Strong"/>
          <w:rFonts w:cstheme="minorHAnsi"/>
          <w:color w:val="000000"/>
          <w:sz w:val="24"/>
          <w:szCs w:val="24"/>
        </w:rPr>
      </w:pPr>
      <w:r>
        <w:rPr>
          <w:rStyle w:val="Strong"/>
          <w:rFonts w:cstheme="minorHAnsi"/>
          <w:color w:val="000000"/>
          <w:sz w:val="24"/>
          <w:szCs w:val="24"/>
        </w:rPr>
        <w:t xml:space="preserve">Total gross </w:t>
      </w:r>
      <w:r w:rsidRPr="008D61C2">
        <w:rPr>
          <w:rStyle w:val="Strong"/>
          <w:rFonts w:cstheme="minorHAnsi"/>
          <w:color w:val="000000"/>
          <w:sz w:val="24"/>
          <w:szCs w:val="24"/>
        </w:rPr>
        <w:t>operating surplus:</w:t>
      </w:r>
      <w:r w:rsidRPr="008D61C2">
        <w:rPr>
          <w:rStyle w:val="Strong"/>
          <w:rFonts w:cstheme="minorHAnsi"/>
          <w:color w:val="000000"/>
          <w:sz w:val="24"/>
          <w:szCs w:val="24"/>
        </w:rPr>
        <w:tab/>
      </w:r>
      <w:r w:rsidR="009A6213" w:rsidRPr="008D61C2">
        <w:rPr>
          <w:rStyle w:val="Strong"/>
          <w:rFonts w:cstheme="minorHAnsi"/>
          <w:color w:val="000000"/>
          <w:sz w:val="24"/>
          <w:szCs w:val="24"/>
        </w:rPr>
        <w:tab/>
      </w:r>
      <w:r w:rsidR="009A6213" w:rsidRPr="008D61C2">
        <w:rPr>
          <w:rStyle w:val="Strong"/>
          <w:rFonts w:cstheme="minorHAnsi"/>
          <w:color w:val="000000"/>
          <w:sz w:val="24"/>
          <w:szCs w:val="24"/>
        </w:rPr>
        <w:tab/>
      </w:r>
      <w:r w:rsidRPr="008D61C2">
        <w:rPr>
          <w:rStyle w:val="Strong"/>
          <w:rFonts w:cstheme="minorHAnsi"/>
          <w:color w:val="000000"/>
          <w:sz w:val="24"/>
          <w:szCs w:val="24"/>
        </w:rPr>
        <w:t xml:space="preserve"> </w:t>
      </w:r>
      <w:r w:rsidR="009A6213" w:rsidRPr="008D61C2">
        <w:rPr>
          <w:rStyle w:val="Strong"/>
          <w:rFonts w:cstheme="minorHAnsi"/>
          <w:color w:val="000000"/>
          <w:sz w:val="24"/>
          <w:szCs w:val="24"/>
        </w:rPr>
        <w:t xml:space="preserve">  </w:t>
      </w:r>
      <w:r w:rsidR="00936AEF">
        <w:rPr>
          <w:rStyle w:val="Strong"/>
          <w:rFonts w:cstheme="minorHAnsi"/>
          <w:color w:val="000000"/>
          <w:sz w:val="24"/>
          <w:szCs w:val="24"/>
        </w:rPr>
        <w:t xml:space="preserve"> </w:t>
      </w:r>
      <w:r w:rsidR="00AF3BDC">
        <w:rPr>
          <w:rStyle w:val="Strong"/>
          <w:rFonts w:cstheme="minorHAnsi"/>
          <w:color w:val="000000"/>
          <w:sz w:val="24"/>
          <w:szCs w:val="24"/>
        </w:rPr>
        <w:t xml:space="preserve">£436bn  </w:t>
      </w:r>
      <w:r w:rsidR="00936AEF">
        <w:rPr>
          <w:rStyle w:val="Strong"/>
          <w:rFonts w:cstheme="minorHAnsi"/>
          <w:color w:val="000000"/>
          <w:sz w:val="24"/>
          <w:szCs w:val="24"/>
        </w:rPr>
        <w:t xml:space="preserve"> </w:t>
      </w:r>
      <w:r w:rsidR="00AF3BDC">
        <w:rPr>
          <w:rStyle w:val="Strong"/>
          <w:rFonts w:cstheme="minorHAnsi"/>
          <w:color w:val="000000"/>
          <w:sz w:val="24"/>
          <w:szCs w:val="24"/>
        </w:rPr>
        <w:t xml:space="preserve"> </w:t>
      </w:r>
      <w:r w:rsidR="008D61C2" w:rsidRPr="008D61C2">
        <w:rPr>
          <w:rStyle w:val="Strong"/>
          <w:rFonts w:cstheme="minorHAnsi"/>
          <w:color w:val="000000"/>
          <w:sz w:val="24"/>
          <w:szCs w:val="24"/>
        </w:rPr>
        <w:t>28.4</w:t>
      </w:r>
      <w:r w:rsidRPr="008D61C2">
        <w:rPr>
          <w:rStyle w:val="Strong"/>
          <w:rFonts w:cstheme="minorHAnsi"/>
          <w:color w:val="000000"/>
          <w:sz w:val="24"/>
          <w:szCs w:val="24"/>
        </w:rPr>
        <w:t>%</w:t>
      </w:r>
      <w:r w:rsidR="00AF3BDC">
        <w:rPr>
          <w:rStyle w:val="Strong"/>
          <w:rFonts w:cstheme="minorHAnsi"/>
          <w:color w:val="000000"/>
          <w:sz w:val="24"/>
          <w:szCs w:val="24"/>
        </w:rPr>
        <w:t xml:space="preserve">    </w:t>
      </w:r>
    </w:p>
    <w:p w:rsidR="006C2A41" w:rsidRPr="008D61C2" w:rsidRDefault="00223A98" w:rsidP="009A6213">
      <w:pPr>
        <w:pStyle w:val="NoSpacing"/>
        <w:ind w:left="567"/>
        <w:rPr>
          <w:rStyle w:val="Strong"/>
          <w:rFonts w:cstheme="minorHAnsi"/>
          <w:color w:val="000000"/>
          <w:sz w:val="24"/>
          <w:szCs w:val="24"/>
        </w:rPr>
      </w:pPr>
      <w:r>
        <w:rPr>
          <w:rStyle w:val="Strong"/>
          <w:rFonts w:cstheme="minorHAnsi"/>
          <w:color w:val="000000"/>
          <w:sz w:val="24"/>
          <w:szCs w:val="24"/>
        </w:rPr>
        <w:t>“</w:t>
      </w:r>
      <w:r w:rsidR="00282EB5" w:rsidRPr="008D61C2">
        <w:rPr>
          <w:rStyle w:val="Strong"/>
          <w:rFonts w:cstheme="minorHAnsi"/>
          <w:color w:val="000000"/>
          <w:sz w:val="24"/>
          <w:szCs w:val="24"/>
        </w:rPr>
        <w:t>Mixed</w:t>
      </w:r>
      <w:r>
        <w:rPr>
          <w:rStyle w:val="Strong"/>
          <w:rFonts w:cstheme="minorHAnsi"/>
          <w:color w:val="000000"/>
          <w:sz w:val="24"/>
          <w:szCs w:val="24"/>
        </w:rPr>
        <w:t>”</w:t>
      </w:r>
      <w:r w:rsidR="00282EB5" w:rsidRPr="008D61C2">
        <w:rPr>
          <w:rStyle w:val="Strong"/>
          <w:rFonts w:cstheme="minorHAnsi"/>
          <w:color w:val="000000"/>
          <w:sz w:val="24"/>
          <w:szCs w:val="24"/>
        </w:rPr>
        <w:t xml:space="preserve"> income</w:t>
      </w:r>
      <w:r>
        <w:rPr>
          <w:rStyle w:val="Strong"/>
          <w:rFonts w:cstheme="minorHAnsi"/>
          <w:color w:val="000000"/>
          <w:sz w:val="24"/>
          <w:szCs w:val="24"/>
        </w:rPr>
        <w:t>s (of the self-employed)</w:t>
      </w:r>
      <w:r w:rsidR="00282EB5" w:rsidRPr="008D61C2">
        <w:rPr>
          <w:rStyle w:val="Strong"/>
          <w:rFonts w:cstheme="minorHAnsi"/>
          <w:color w:val="000000"/>
          <w:sz w:val="24"/>
          <w:szCs w:val="24"/>
        </w:rPr>
        <w:t>:</w:t>
      </w:r>
      <w:r w:rsidR="009A6213" w:rsidRPr="008D61C2">
        <w:rPr>
          <w:rStyle w:val="Strong"/>
          <w:rFonts w:cstheme="minorHAnsi"/>
          <w:color w:val="000000"/>
          <w:sz w:val="24"/>
          <w:szCs w:val="24"/>
        </w:rPr>
        <w:tab/>
        <w:t xml:space="preserve"> </w:t>
      </w:r>
      <w:r w:rsidR="00936AEF">
        <w:rPr>
          <w:rStyle w:val="Strong"/>
          <w:rFonts w:cstheme="minorHAnsi"/>
          <w:color w:val="000000"/>
          <w:sz w:val="24"/>
          <w:szCs w:val="24"/>
        </w:rPr>
        <w:t xml:space="preserve"> </w:t>
      </w:r>
      <w:r w:rsidR="009A6213" w:rsidRPr="008D61C2">
        <w:rPr>
          <w:rStyle w:val="Strong"/>
          <w:rFonts w:cstheme="minorHAnsi"/>
          <w:color w:val="000000"/>
          <w:sz w:val="24"/>
          <w:szCs w:val="24"/>
        </w:rPr>
        <w:t xml:space="preserve"> </w:t>
      </w:r>
      <w:r w:rsidR="00936AEF">
        <w:rPr>
          <w:rStyle w:val="Strong"/>
          <w:rFonts w:cstheme="minorHAnsi"/>
          <w:color w:val="000000"/>
          <w:sz w:val="24"/>
          <w:szCs w:val="24"/>
        </w:rPr>
        <w:t xml:space="preserve">  £ 85bn       </w:t>
      </w:r>
      <w:r w:rsidR="008D61C2" w:rsidRPr="008D61C2">
        <w:rPr>
          <w:rStyle w:val="Strong"/>
          <w:rFonts w:cstheme="minorHAnsi"/>
          <w:color w:val="000000"/>
          <w:sz w:val="24"/>
          <w:szCs w:val="24"/>
        </w:rPr>
        <w:t>5.5</w:t>
      </w:r>
      <w:r w:rsidR="00282EB5" w:rsidRPr="008D61C2">
        <w:rPr>
          <w:rStyle w:val="Strong"/>
          <w:rFonts w:cstheme="minorHAnsi"/>
          <w:color w:val="000000"/>
          <w:sz w:val="24"/>
          <w:szCs w:val="24"/>
        </w:rPr>
        <w:t>%</w:t>
      </w:r>
      <w:r w:rsidR="004B588F" w:rsidRPr="008D61C2">
        <w:rPr>
          <w:rStyle w:val="Strong"/>
          <w:rFonts w:cstheme="minorHAnsi"/>
          <w:color w:val="000000"/>
          <w:sz w:val="24"/>
          <w:szCs w:val="24"/>
        </w:rPr>
        <w:t xml:space="preserve"> </w:t>
      </w:r>
    </w:p>
    <w:p w:rsidR="00282EB5" w:rsidRPr="008D61C2" w:rsidRDefault="00282EB5" w:rsidP="009A6213">
      <w:pPr>
        <w:pStyle w:val="NoSpacing"/>
        <w:ind w:left="567"/>
        <w:rPr>
          <w:rStyle w:val="Strong"/>
          <w:rFonts w:cstheme="minorHAnsi"/>
          <w:color w:val="000000"/>
          <w:sz w:val="24"/>
          <w:szCs w:val="24"/>
        </w:rPr>
      </w:pPr>
      <w:r w:rsidRPr="008D61C2">
        <w:rPr>
          <w:rStyle w:val="Strong"/>
          <w:rFonts w:cstheme="minorHAnsi"/>
          <w:color w:val="000000"/>
          <w:sz w:val="24"/>
          <w:szCs w:val="24"/>
        </w:rPr>
        <w:t>Employee compensation</w:t>
      </w:r>
      <w:r w:rsidRPr="008D61C2">
        <w:rPr>
          <w:rStyle w:val="Strong"/>
          <w:rFonts w:cstheme="minorHAnsi"/>
          <w:color w:val="000000"/>
          <w:sz w:val="24"/>
          <w:szCs w:val="24"/>
        </w:rPr>
        <w:tab/>
      </w:r>
      <w:r w:rsidRPr="008D61C2">
        <w:rPr>
          <w:rStyle w:val="Strong"/>
          <w:rFonts w:cstheme="minorHAnsi"/>
          <w:color w:val="000000"/>
          <w:sz w:val="24"/>
          <w:szCs w:val="24"/>
        </w:rPr>
        <w:tab/>
        <w:t xml:space="preserve">  </w:t>
      </w:r>
      <w:r w:rsidR="009A6213" w:rsidRPr="008D61C2">
        <w:rPr>
          <w:rStyle w:val="Strong"/>
          <w:rFonts w:cstheme="minorHAnsi"/>
          <w:color w:val="000000"/>
          <w:sz w:val="24"/>
          <w:szCs w:val="24"/>
        </w:rPr>
        <w:tab/>
        <w:t xml:space="preserve"> </w:t>
      </w:r>
      <w:r w:rsidR="00936AEF">
        <w:rPr>
          <w:rStyle w:val="Strong"/>
          <w:rFonts w:cstheme="minorHAnsi"/>
          <w:color w:val="000000"/>
          <w:sz w:val="24"/>
          <w:szCs w:val="24"/>
        </w:rPr>
        <w:t xml:space="preserve">   £820bn    </w:t>
      </w:r>
      <w:r w:rsidR="008D61C2" w:rsidRPr="008D61C2">
        <w:rPr>
          <w:rStyle w:val="Strong"/>
          <w:rFonts w:cstheme="minorHAnsi"/>
          <w:color w:val="000000"/>
          <w:sz w:val="24"/>
          <w:szCs w:val="24"/>
        </w:rPr>
        <w:t>53</w:t>
      </w:r>
      <w:r w:rsidRPr="008D61C2">
        <w:rPr>
          <w:rStyle w:val="Strong"/>
          <w:rFonts w:cstheme="minorHAnsi"/>
          <w:color w:val="000000"/>
          <w:sz w:val="24"/>
          <w:szCs w:val="24"/>
        </w:rPr>
        <w:t>.</w:t>
      </w:r>
      <w:r w:rsidR="008D61C2" w:rsidRPr="008D61C2">
        <w:rPr>
          <w:rStyle w:val="Strong"/>
          <w:rFonts w:cstheme="minorHAnsi"/>
          <w:color w:val="000000"/>
          <w:sz w:val="24"/>
          <w:szCs w:val="24"/>
        </w:rPr>
        <w:t>4</w:t>
      </w:r>
      <w:r w:rsidRPr="008D61C2">
        <w:rPr>
          <w:rStyle w:val="Strong"/>
          <w:rFonts w:cstheme="minorHAnsi"/>
          <w:color w:val="000000"/>
          <w:sz w:val="24"/>
          <w:szCs w:val="24"/>
        </w:rPr>
        <w:t>%</w:t>
      </w:r>
    </w:p>
    <w:p w:rsidR="00282EB5" w:rsidRPr="008D61C2" w:rsidRDefault="00282EB5" w:rsidP="009A6213">
      <w:pPr>
        <w:pStyle w:val="NoSpacing"/>
        <w:ind w:left="567"/>
        <w:rPr>
          <w:rStyle w:val="Strong"/>
          <w:rFonts w:cstheme="minorHAnsi"/>
          <w:color w:val="000000"/>
          <w:sz w:val="24"/>
          <w:szCs w:val="24"/>
        </w:rPr>
      </w:pPr>
      <w:r w:rsidRPr="008D61C2">
        <w:rPr>
          <w:rStyle w:val="Strong"/>
          <w:rFonts w:cstheme="minorHAnsi"/>
          <w:color w:val="000000"/>
          <w:sz w:val="24"/>
          <w:szCs w:val="24"/>
        </w:rPr>
        <w:t xml:space="preserve">Taxes less subsidies on products and imports: </w:t>
      </w:r>
      <w:r w:rsidR="009A6213" w:rsidRPr="008D61C2">
        <w:rPr>
          <w:rStyle w:val="Strong"/>
          <w:rFonts w:cstheme="minorHAnsi"/>
          <w:color w:val="000000"/>
          <w:sz w:val="24"/>
          <w:szCs w:val="24"/>
        </w:rPr>
        <w:t xml:space="preserve"> </w:t>
      </w:r>
      <w:r w:rsidR="00936AEF">
        <w:rPr>
          <w:rStyle w:val="Strong"/>
          <w:rFonts w:cstheme="minorHAnsi"/>
          <w:color w:val="000000"/>
          <w:sz w:val="24"/>
          <w:szCs w:val="24"/>
        </w:rPr>
        <w:t xml:space="preserve"> £190bn    </w:t>
      </w:r>
      <w:r w:rsidR="008D61C2" w:rsidRPr="008D61C2">
        <w:rPr>
          <w:rStyle w:val="Strong"/>
          <w:rFonts w:cstheme="minorHAnsi"/>
          <w:color w:val="000000"/>
          <w:sz w:val="24"/>
          <w:szCs w:val="24"/>
        </w:rPr>
        <w:t>12.5</w:t>
      </w:r>
      <w:r w:rsidRPr="008D61C2">
        <w:rPr>
          <w:rStyle w:val="Strong"/>
          <w:rFonts w:cstheme="minorHAnsi"/>
          <w:color w:val="000000"/>
          <w:sz w:val="24"/>
          <w:szCs w:val="24"/>
        </w:rPr>
        <w:t>%</w:t>
      </w:r>
    </w:p>
    <w:p w:rsidR="00282EB5" w:rsidRPr="008D61C2" w:rsidRDefault="00282EB5" w:rsidP="00E07310">
      <w:pPr>
        <w:autoSpaceDE w:val="0"/>
        <w:autoSpaceDN w:val="0"/>
        <w:adjustRightInd w:val="0"/>
        <w:spacing w:after="0" w:line="240" w:lineRule="auto"/>
        <w:rPr>
          <w:rFonts w:cstheme="minorHAnsi"/>
          <w:b/>
          <w:bCs/>
          <w:sz w:val="24"/>
          <w:szCs w:val="24"/>
        </w:rPr>
      </w:pPr>
    </w:p>
    <w:p w:rsidR="009100F9" w:rsidRPr="008D61C2" w:rsidRDefault="00E07310" w:rsidP="008D61C2">
      <w:pPr>
        <w:pStyle w:val="NoSpacing"/>
        <w:jc w:val="both"/>
        <w:rPr>
          <w:sz w:val="24"/>
          <w:szCs w:val="24"/>
        </w:rPr>
      </w:pPr>
      <w:r w:rsidRPr="008D61C2">
        <w:rPr>
          <w:rFonts w:cstheme="minorHAnsi"/>
          <w:b/>
          <w:bCs/>
          <w:sz w:val="24"/>
          <w:szCs w:val="24"/>
        </w:rPr>
        <w:t xml:space="preserve">Gross operating surplus </w:t>
      </w:r>
      <w:r w:rsidRPr="008D61C2">
        <w:rPr>
          <w:rFonts w:cstheme="minorHAnsi"/>
          <w:sz w:val="24"/>
          <w:szCs w:val="24"/>
        </w:rPr>
        <w:t xml:space="preserve">is </w:t>
      </w:r>
      <w:r w:rsidR="00DD5570" w:rsidRPr="008D61C2">
        <w:rPr>
          <w:rFonts w:cstheme="minorHAnsi"/>
          <w:sz w:val="24"/>
          <w:szCs w:val="24"/>
        </w:rPr>
        <w:t>gross value added (</w:t>
      </w:r>
      <w:r w:rsidRPr="008D61C2">
        <w:rPr>
          <w:rFonts w:cstheme="minorHAnsi"/>
          <w:sz w:val="24"/>
          <w:szCs w:val="24"/>
        </w:rPr>
        <w:t>GVA</w:t>
      </w:r>
      <w:r w:rsidR="00DD5570" w:rsidRPr="008D61C2">
        <w:rPr>
          <w:rFonts w:cstheme="minorHAnsi"/>
          <w:sz w:val="24"/>
          <w:szCs w:val="24"/>
        </w:rPr>
        <w:t>)</w:t>
      </w:r>
      <w:r w:rsidRPr="008D61C2">
        <w:rPr>
          <w:rFonts w:cstheme="minorHAnsi"/>
          <w:sz w:val="24"/>
          <w:szCs w:val="24"/>
        </w:rPr>
        <w:t xml:space="preserve"> </w:t>
      </w:r>
      <w:r w:rsidR="00276D8A" w:rsidRPr="008D61C2">
        <w:rPr>
          <w:rFonts w:cstheme="minorHAnsi"/>
          <w:sz w:val="24"/>
          <w:szCs w:val="24"/>
        </w:rPr>
        <w:t>minus</w:t>
      </w:r>
      <w:r w:rsidR="00DD5570" w:rsidRPr="008D61C2">
        <w:rPr>
          <w:rFonts w:cstheme="minorHAnsi"/>
          <w:sz w:val="24"/>
          <w:szCs w:val="24"/>
        </w:rPr>
        <w:t xml:space="preserve"> </w:t>
      </w:r>
      <w:r w:rsidRPr="008D61C2">
        <w:rPr>
          <w:rFonts w:cstheme="minorHAnsi"/>
          <w:sz w:val="24"/>
          <w:szCs w:val="24"/>
        </w:rPr>
        <w:t>labour costs paid by producers.</w:t>
      </w:r>
      <w:r w:rsidRPr="008D61C2">
        <w:rPr>
          <w:sz w:val="24"/>
          <w:szCs w:val="24"/>
        </w:rPr>
        <w:t xml:space="preserve"> </w:t>
      </w:r>
      <w:r w:rsidR="00DD5570" w:rsidRPr="008D61C2">
        <w:rPr>
          <w:sz w:val="24"/>
          <w:szCs w:val="24"/>
        </w:rPr>
        <w:t xml:space="preserve">It </w:t>
      </w:r>
      <w:r w:rsidRPr="008D61C2">
        <w:rPr>
          <w:sz w:val="24"/>
          <w:szCs w:val="24"/>
        </w:rPr>
        <w:t xml:space="preserve">is the sum of </w:t>
      </w:r>
      <w:r w:rsidR="00DD5570" w:rsidRPr="008D61C2">
        <w:rPr>
          <w:sz w:val="24"/>
          <w:szCs w:val="24"/>
        </w:rPr>
        <w:t xml:space="preserve">(i) </w:t>
      </w:r>
      <w:r w:rsidRPr="008D61C2">
        <w:rPr>
          <w:sz w:val="24"/>
          <w:szCs w:val="24"/>
        </w:rPr>
        <w:t>gross trading profits</w:t>
      </w:r>
      <w:r w:rsidR="00DD5570" w:rsidRPr="008D61C2">
        <w:rPr>
          <w:sz w:val="24"/>
          <w:szCs w:val="24"/>
        </w:rPr>
        <w:t xml:space="preserve"> </w:t>
      </w:r>
      <w:r w:rsidRPr="008D61C2">
        <w:rPr>
          <w:sz w:val="24"/>
          <w:szCs w:val="24"/>
        </w:rPr>
        <w:t xml:space="preserve">and </w:t>
      </w:r>
      <w:r w:rsidR="00DD5570" w:rsidRPr="008D61C2">
        <w:rPr>
          <w:sz w:val="24"/>
          <w:szCs w:val="24"/>
        </w:rPr>
        <w:t xml:space="preserve">(ii) </w:t>
      </w:r>
      <w:r w:rsidR="008D61C2">
        <w:rPr>
          <w:sz w:val="24"/>
          <w:szCs w:val="24"/>
        </w:rPr>
        <w:t>“</w:t>
      </w:r>
      <w:r w:rsidRPr="008D61C2">
        <w:rPr>
          <w:sz w:val="24"/>
          <w:szCs w:val="24"/>
        </w:rPr>
        <w:t xml:space="preserve">income earned through </w:t>
      </w:r>
      <w:r w:rsidR="008D61C2">
        <w:rPr>
          <w:sz w:val="24"/>
          <w:szCs w:val="24"/>
        </w:rPr>
        <w:t xml:space="preserve">the </w:t>
      </w:r>
      <w:r w:rsidRPr="008D61C2">
        <w:rPr>
          <w:sz w:val="24"/>
          <w:szCs w:val="24"/>
        </w:rPr>
        <w:t>ownership of buildings (rental income)</w:t>
      </w:r>
      <w:r w:rsidR="008D61C2">
        <w:rPr>
          <w:sz w:val="24"/>
          <w:szCs w:val="24"/>
        </w:rPr>
        <w:t>.”</w:t>
      </w:r>
      <w:r w:rsidR="00DD5570" w:rsidRPr="008D61C2">
        <w:rPr>
          <w:sz w:val="24"/>
          <w:szCs w:val="24"/>
        </w:rPr>
        <w:t xml:space="preserve"> But separate figures are </w:t>
      </w:r>
      <w:r w:rsidR="00402615" w:rsidRPr="008D61C2">
        <w:rPr>
          <w:sz w:val="24"/>
          <w:szCs w:val="24"/>
        </w:rPr>
        <w:t xml:space="preserve">not easy to find </w:t>
      </w:r>
      <w:r w:rsidR="00DD5570" w:rsidRPr="008D61C2">
        <w:rPr>
          <w:sz w:val="24"/>
          <w:szCs w:val="24"/>
        </w:rPr>
        <w:t>for (i) and (</w:t>
      </w:r>
      <w:r w:rsidR="00276D8A" w:rsidRPr="008D61C2">
        <w:rPr>
          <w:sz w:val="24"/>
          <w:szCs w:val="24"/>
        </w:rPr>
        <w:t>ii); and nor is “rental income” calculated separately for land and buildings.</w:t>
      </w:r>
      <w:r w:rsidR="00402615" w:rsidRPr="008D61C2">
        <w:rPr>
          <w:sz w:val="24"/>
          <w:szCs w:val="24"/>
        </w:rPr>
        <w:t xml:space="preserve"> </w:t>
      </w:r>
    </w:p>
    <w:p w:rsidR="009100F9" w:rsidRPr="008D61C2" w:rsidRDefault="009100F9" w:rsidP="008D61C2">
      <w:pPr>
        <w:pStyle w:val="NoSpacing"/>
        <w:jc w:val="both"/>
        <w:rPr>
          <w:sz w:val="24"/>
          <w:szCs w:val="24"/>
        </w:rPr>
      </w:pPr>
    </w:p>
    <w:p w:rsidR="008D61C2" w:rsidRDefault="00402615" w:rsidP="008D61C2">
      <w:pPr>
        <w:pStyle w:val="NoSpacing"/>
        <w:jc w:val="both"/>
        <w:rPr>
          <w:sz w:val="24"/>
          <w:szCs w:val="24"/>
        </w:rPr>
      </w:pPr>
      <w:r w:rsidRPr="008D61C2">
        <w:rPr>
          <w:sz w:val="24"/>
          <w:szCs w:val="24"/>
        </w:rPr>
        <w:t xml:space="preserve">However, Summary Table 1.6.3 gives a figure of </w:t>
      </w:r>
      <w:r w:rsidRPr="00223A98">
        <w:rPr>
          <w:b/>
          <w:sz w:val="24"/>
          <w:szCs w:val="24"/>
        </w:rPr>
        <w:t>£483</w:t>
      </w:r>
      <w:r w:rsidR="000623B9" w:rsidRPr="00223A98">
        <w:rPr>
          <w:b/>
          <w:sz w:val="24"/>
          <w:szCs w:val="24"/>
        </w:rPr>
        <w:t xml:space="preserve"> </w:t>
      </w:r>
      <w:r w:rsidRPr="00223A98">
        <w:rPr>
          <w:b/>
          <w:sz w:val="24"/>
          <w:szCs w:val="24"/>
        </w:rPr>
        <w:t>b</w:t>
      </w:r>
      <w:r w:rsidR="000623B9" w:rsidRPr="00223A98">
        <w:rPr>
          <w:b/>
          <w:sz w:val="24"/>
          <w:szCs w:val="24"/>
        </w:rPr>
        <w:t>illion</w:t>
      </w:r>
      <w:r w:rsidRPr="008D61C2">
        <w:rPr>
          <w:sz w:val="24"/>
          <w:szCs w:val="24"/>
        </w:rPr>
        <w:t xml:space="preserve"> for total </w:t>
      </w:r>
      <w:r w:rsidRPr="00015117">
        <w:rPr>
          <w:b/>
          <w:sz w:val="24"/>
          <w:szCs w:val="24"/>
        </w:rPr>
        <w:t>property income</w:t>
      </w:r>
      <w:r w:rsidR="00015117">
        <w:rPr>
          <w:sz w:val="24"/>
          <w:szCs w:val="24"/>
        </w:rPr>
        <w:t xml:space="preserve"> accruing to individuals.</w:t>
      </w:r>
      <w:r w:rsidR="006134CB" w:rsidRPr="008D61C2">
        <w:rPr>
          <w:sz w:val="24"/>
          <w:szCs w:val="24"/>
        </w:rPr>
        <w:t xml:space="preserve"> These incomes </w:t>
      </w:r>
      <w:r w:rsidR="00015117">
        <w:rPr>
          <w:sz w:val="24"/>
          <w:szCs w:val="24"/>
        </w:rPr>
        <w:t>comprise</w:t>
      </w:r>
      <w:r w:rsidR="006134CB" w:rsidRPr="008D61C2">
        <w:rPr>
          <w:sz w:val="24"/>
          <w:szCs w:val="24"/>
        </w:rPr>
        <w:t xml:space="preserve">: </w:t>
      </w:r>
    </w:p>
    <w:p w:rsidR="008D61C2" w:rsidRDefault="006134CB" w:rsidP="00AF3BDC">
      <w:pPr>
        <w:pStyle w:val="NoSpacing"/>
        <w:ind w:left="567"/>
        <w:jc w:val="both"/>
        <w:rPr>
          <w:sz w:val="24"/>
          <w:szCs w:val="24"/>
        </w:rPr>
      </w:pPr>
      <w:r w:rsidRPr="008D61C2">
        <w:rPr>
          <w:sz w:val="24"/>
          <w:szCs w:val="24"/>
        </w:rPr>
        <w:t>(i) interest</w:t>
      </w:r>
      <w:r w:rsidR="008D61C2">
        <w:rPr>
          <w:sz w:val="24"/>
          <w:szCs w:val="24"/>
        </w:rPr>
        <w:t xml:space="preserve">: </w:t>
      </w:r>
      <w:r w:rsidR="008D61C2" w:rsidRPr="00223A98">
        <w:rPr>
          <w:b/>
          <w:sz w:val="24"/>
          <w:szCs w:val="24"/>
        </w:rPr>
        <w:t>£210bn</w:t>
      </w:r>
    </w:p>
    <w:p w:rsidR="00015117" w:rsidRPr="0089288F" w:rsidRDefault="006134CB" w:rsidP="00AF3BDC">
      <w:pPr>
        <w:pStyle w:val="NoSpacing"/>
        <w:ind w:left="567"/>
        <w:jc w:val="both"/>
        <w:rPr>
          <w:b/>
          <w:sz w:val="24"/>
          <w:szCs w:val="24"/>
        </w:rPr>
      </w:pPr>
      <w:r w:rsidRPr="008D61C2">
        <w:rPr>
          <w:sz w:val="24"/>
          <w:szCs w:val="24"/>
        </w:rPr>
        <w:t xml:space="preserve">(ii) distributed </w:t>
      </w:r>
      <w:r w:rsidR="00015117">
        <w:rPr>
          <w:sz w:val="24"/>
          <w:szCs w:val="24"/>
        </w:rPr>
        <w:t>incomes of corporations</w:t>
      </w:r>
      <w:r w:rsidR="0089288F">
        <w:rPr>
          <w:sz w:val="24"/>
          <w:szCs w:val="24"/>
        </w:rPr>
        <w:t xml:space="preserve">: </w:t>
      </w:r>
      <w:r w:rsidR="0089288F">
        <w:rPr>
          <w:b/>
          <w:sz w:val="24"/>
          <w:szCs w:val="24"/>
        </w:rPr>
        <w:t>£198bn</w:t>
      </w:r>
    </w:p>
    <w:p w:rsidR="008D61C2" w:rsidRDefault="00015117" w:rsidP="00AF3BDC">
      <w:pPr>
        <w:pStyle w:val="NoSpacing"/>
        <w:ind w:left="567"/>
        <w:jc w:val="both"/>
        <w:rPr>
          <w:sz w:val="24"/>
          <w:szCs w:val="24"/>
        </w:rPr>
      </w:pPr>
      <w:r>
        <w:rPr>
          <w:sz w:val="24"/>
          <w:szCs w:val="24"/>
        </w:rPr>
        <w:t xml:space="preserve">(iii) </w:t>
      </w:r>
      <w:r w:rsidR="008D61C2">
        <w:rPr>
          <w:sz w:val="24"/>
          <w:szCs w:val="24"/>
        </w:rPr>
        <w:t xml:space="preserve">reinvested </w:t>
      </w:r>
      <w:r>
        <w:rPr>
          <w:sz w:val="24"/>
          <w:szCs w:val="24"/>
        </w:rPr>
        <w:t>earnings on direct foreign investment</w:t>
      </w:r>
      <w:r w:rsidR="008D61C2">
        <w:rPr>
          <w:sz w:val="24"/>
          <w:szCs w:val="24"/>
        </w:rPr>
        <w:t xml:space="preserve">: </w:t>
      </w:r>
      <w:r w:rsidR="008D61C2" w:rsidRPr="00223A98">
        <w:rPr>
          <w:b/>
          <w:sz w:val="24"/>
          <w:szCs w:val="24"/>
        </w:rPr>
        <w:t>£130bn</w:t>
      </w:r>
    </w:p>
    <w:p w:rsidR="008D61C2" w:rsidRPr="00223A98" w:rsidRDefault="00015117" w:rsidP="00AF3BDC">
      <w:pPr>
        <w:pStyle w:val="NoSpacing"/>
        <w:ind w:left="567"/>
        <w:jc w:val="both"/>
        <w:rPr>
          <w:b/>
          <w:sz w:val="24"/>
          <w:szCs w:val="24"/>
        </w:rPr>
      </w:pPr>
      <w:r>
        <w:rPr>
          <w:sz w:val="24"/>
          <w:szCs w:val="24"/>
        </w:rPr>
        <w:t>(iv</w:t>
      </w:r>
      <w:r w:rsidR="006134CB" w:rsidRPr="008D61C2">
        <w:rPr>
          <w:sz w:val="24"/>
          <w:szCs w:val="24"/>
        </w:rPr>
        <w:t>) “property income attributed to insurance policy holders” – presumably owners of buildings</w:t>
      </w:r>
      <w:r w:rsidR="008D61C2">
        <w:rPr>
          <w:sz w:val="24"/>
          <w:szCs w:val="24"/>
        </w:rPr>
        <w:t xml:space="preserve">: </w:t>
      </w:r>
      <w:r w:rsidR="008D61C2" w:rsidRPr="00223A98">
        <w:rPr>
          <w:b/>
          <w:sz w:val="24"/>
          <w:szCs w:val="24"/>
        </w:rPr>
        <w:t>£71bn</w:t>
      </w:r>
    </w:p>
    <w:p w:rsidR="00AF3BDC" w:rsidRDefault="00015117" w:rsidP="00AF3BDC">
      <w:pPr>
        <w:pStyle w:val="NoSpacing"/>
        <w:ind w:left="567"/>
        <w:jc w:val="both"/>
        <w:rPr>
          <w:sz w:val="24"/>
          <w:szCs w:val="24"/>
        </w:rPr>
      </w:pPr>
      <w:r>
        <w:rPr>
          <w:sz w:val="24"/>
          <w:szCs w:val="24"/>
        </w:rPr>
        <w:t>(</w:t>
      </w:r>
      <w:r w:rsidR="006134CB" w:rsidRPr="008D61C2">
        <w:rPr>
          <w:sz w:val="24"/>
          <w:szCs w:val="24"/>
        </w:rPr>
        <w:t>v) rent on land</w:t>
      </w:r>
      <w:r w:rsidR="008D61C2">
        <w:rPr>
          <w:sz w:val="24"/>
          <w:szCs w:val="24"/>
        </w:rPr>
        <w:t xml:space="preserve">: </w:t>
      </w:r>
      <w:r w:rsidR="008D61C2" w:rsidRPr="00223A98">
        <w:rPr>
          <w:b/>
          <w:sz w:val="24"/>
          <w:szCs w:val="24"/>
        </w:rPr>
        <w:t>£0.</w:t>
      </w:r>
      <w:r w:rsidR="00223A98">
        <w:rPr>
          <w:b/>
          <w:sz w:val="24"/>
          <w:szCs w:val="24"/>
        </w:rPr>
        <w:t>417bn</w:t>
      </w:r>
      <w:r w:rsidR="0089288F">
        <w:rPr>
          <w:b/>
          <w:sz w:val="24"/>
          <w:szCs w:val="24"/>
        </w:rPr>
        <w:t xml:space="preserve"> (i.e., £417m)</w:t>
      </w:r>
    </w:p>
    <w:p w:rsidR="00AF3BDC" w:rsidRDefault="00AF3BDC" w:rsidP="008D61C2">
      <w:pPr>
        <w:pStyle w:val="NoSpacing"/>
        <w:jc w:val="both"/>
        <w:rPr>
          <w:sz w:val="24"/>
          <w:szCs w:val="24"/>
        </w:rPr>
      </w:pPr>
    </w:p>
    <w:p w:rsidR="008D61C2" w:rsidRPr="008D61C2" w:rsidRDefault="00936AEF" w:rsidP="008D61C2">
      <w:pPr>
        <w:pStyle w:val="NoSpacing"/>
        <w:jc w:val="both"/>
        <w:rPr>
          <w:color w:val="000000"/>
          <w:sz w:val="24"/>
          <w:szCs w:val="24"/>
        </w:rPr>
      </w:pPr>
      <w:r w:rsidRPr="00223A98">
        <w:rPr>
          <w:b/>
          <w:sz w:val="24"/>
          <w:szCs w:val="24"/>
        </w:rPr>
        <w:t>“R</w:t>
      </w:r>
      <w:r w:rsidR="00AF3BDC" w:rsidRPr="00223A98">
        <w:rPr>
          <w:b/>
          <w:sz w:val="24"/>
          <w:szCs w:val="24"/>
        </w:rPr>
        <w:t>ent on land”</w:t>
      </w:r>
      <w:r w:rsidR="00AF3BDC">
        <w:rPr>
          <w:sz w:val="24"/>
          <w:szCs w:val="24"/>
        </w:rPr>
        <w:t xml:space="preserve"> is </w:t>
      </w:r>
      <w:r w:rsidR="008D61C2" w:rsidRPr="008D61C2">
        <w:rPr>
          <w:sz w:val="24"/>
          <w:szCs w:val="24"/>
        </w:rPr>
        <w:t>defined as “</w:t>
      </w:r>
      <w:r w:rsidR="008D61C2" w:rsidRPr="008D61C2">
        <w:rPr>
          <w:color w:val="000000"/>
          <w:sz w:val="24"/>
          <w:szCs w:val="24"/>
        </w:rPr>
        <w:t>the amount payable to the owners of land and sub-soil assets in return for allowing others to exploit the assets in question. In practice, the main constituents of rent for the UK are for agricultural land royalties in respect of permits to explore for oil and gas.</w:t>
      </w:r>
      <w:r w:rsidR="008D61C2">
        <w:rPr>
          <w:color w:val="000000"/>
          <w:sz w:val="24"/>
          <w:szCs w:val="24"/>
        </w:rPr>
        <w:t>”</w:t>
      </w:r>
      <w:r w:rsidR="008D61C2" w:rsidRPr="008D61C2">
        <w:rPr>
          <w:color w:val="000000"/>
          <w:sz w:val="24"/>
          <w:szCs w:val="24"/>
        </w:rPr>
        <w:t xml:space="preserve"> </w:t>
      </w:r>
      <w:r>
        <w:rPr>
          <w:color w:val="000000"/>
          <w:sz w:val="24"/>
          <w:szCs w:val="24"/>
        </w:rPr>
        <w:t>It is a relatively trivial sum (</w:t>
      </w:r>
      <w:r w:rsidR="0089288F">
        <w:rPr>
          <w:b/>
          <w:color w:val="000000"/>
          <w:sz w:val="24"/>
          <w:szCs w:val="24"/>
        </w:rPr>
        <w:t>£417m</w:t>
      </w:r>
      <w:r>
        <w:rPr>
          <w:color w:val="000000"/>
          <w:sz w:val="24"/>
          <w:szCs w:val="24"/>
        </w:rPr>
        <w:t>) because relatively few agents make expl</w:t>
      </w:r>
      <w:r w:rsidR="008530BD">
        <w:rPr>
          <w:color w:val="000000"/>
          <w:sz w:val="24"/>
          <w:szCs w:val="24"/>
        </w:rPr>
        <w:t>icit payments for land qua land, and land here is onshore land only. Offshore oil incomes are not officially defined as rent.</w:t>
      </w:r>
    </w:p>
    <w:p w:rsidR="00402615" w:rsidRDefault="00402615" w:rsidP="00DD5570">
      <w:pPr>
        <w:autoSpaceDE w:val="0"/>
        <w:autoSpaceDN w:val="0"/>
        <w:adjustRightInd w:val="0"/>
        <w:spacing w:after="0" w:line="240" w:lineRule="auto"/>
        <w:jc w:val="both"/>
        <w:rPr>
          <w:rFonts w:ascii="Times New Roman" w:hAnsi="Times New Roman" w:cs="Times New Roman"/>
          <w:b/>
          <w:bCs/>
          <w:sz w:val="24"/>
          <w:szCs w:val="24"/>
        </w:rPr>
      </w:pPr>
    </w:p>
    <w:p w:rsidR="00432E26" w:rsidRDefault="00184EBE" w:rsidP="00A15F62">
      <w:pPr>
        <w:jc w:val="both"/>
        <w:rPr>
          <w:rFonts w:ascii="Times New Roman" w:hAnsi="Times New Roman" w:cs="Times New Roman"/>
          <w:sz w:val="24"/>
          <w:szCs w:val="24"/>
        </w:rPr>
      </w:pPr>
      <w:r>
        <w:rPr>
          <w:rFonts w:ascii="Times New Roman" w:hAnsi="Times New Roman" w:cs="Times New Roman"/>
          <w:sz w:val="24"/>
          <w:szCs w:val="24"/>
        </w:rPr>
        <w:t xml:space="preserve">Figure 1 </w:t>
      </w:r>
      <w:r w:rsidR="00653D10">
        <w:rPr>
          <w:rFonts w:ascii="Times New Roman" w:hAnsi="Times New Roman" w:cs="Times New Roman"/>
          <w:sz w:val="24"/>
          <w:szCs w:val="24"/>
        </w:rPr>
        <w:t>(</w:t>
      </w:r>
      <w:r>
        <w:rPr>
          <w:rFonts w:ascii="Times New Roman" w:hAnsi="Times New Roman" w:cs="Times New Roman"/>
          <w:sz w:val="24"/>
          <w:szCs w:val="24"/>
        </w:rPr>
        <w:t>below</w:t>
      </w:r>
      <w:r w:rsidR="00653D10">
        <w:rPr>
          <w:rFonts w:ascii="Times New Roman" w:hAnsi="Times New Roman" w:cs="Times New Roman"/>
          <w:sz w:val="24"/>
          <w:szCs w:val="24"/>
        </w:rPr>
        <w:t>)</w:t>
      </w:r>
      <w:r>
        <w:rPr>
          <w:rFonts w:ascii="Times New Roman" w:hAnsi="Times New Roman" w:cs="Times New Roman"/>
          <w:sz w:val="24"/>
          <w:szCs w:val="24"/>
        </w:rPr>
        <w:t xml:space="preserve"> </w:t>
      </w:r>
      <w:r w:rsidR="00A15F62">
        <w:rPr>
          <w:rFonts w:ascii="Times New Roman" w:hAnsi="Times New Roman" w:cs="Times New Roman"/>
          <w:sz w:val="24"/>
          <w:szCs w:val="24"/>
        </w:rPr>
        <w:t xml:space="preserve">summarises the </w:t>
      </w:r>
      <w:r w:rsidR="00223A98">
        <w:rPr>
          <w:rFonts w:ascii="Times New Roman" w:hAnsi="Times New Roman" w:cs="Times New Roman"/>
          <w:sz w:val="24"/>
          <w:szCs w:val="24"/>
        </w:rPr>
        <w:t xml:space="preserve">functional distribution of </w:t>
      </w:r>
      <w:r w:rsidR="00E269D7">
        <w:rPr>
          <w:rFonts w:ascii="Times New Roman" w:hAnsi="Times New Roman" w:cs="Times New Roman"/>
          <w:sz w:val="24"/>
          <w:szCs w:val="24"/>
        </w:rPr>
        <w:t xml:space="preserve">the United Kingdom’s </w:t>
      </w:r>
      <w:r w:rsidR="00223A98">
        <w:rPr>
          <w:rFonts w:ascii="Times New Roman" w:hAnsi="Times New Roman" w:cs="Times New Roman"/>
          <w:sz w:val="24"/>
          <w:szCs w:val="24"/>
        </w:rPr>
        <w:t>GDP, 1990-2013</w:t>
      </w:r>
      <w:r w:rsidR="00A15F62">
        <w:rPr>
          <w:rFonts w:ascii="Times New Roman" w:hAnsi="Times New Roman" w:cs="Times New Roman"/>
          <w:sz w:val="24"/>
          <w:szCs w:val="24"/>
        </w:rPr>
        <w:t>, as revealed by the national accounts</w:t>
      </w:r>
      <w:r w:rsidR="00432E26">
        <w:rPr>
          <w:rFonts w:ascii="Times New Roman" w:hAnsi="Times New Roman" w:cs="Times New Roman"/>
          <w:sz w:val="24"/>
          <w:szCs w:val="24"/>
        </w:rPr>
        <w:t>:</w:t>
      </w:r>
    </w:p>
    <w:p w:rsidR="00554048" w:rsidRDefault="00432E26" w:rsidP="00432E26">
      <w:pPr>
        <w:jc w:val="center"/>
        <w:rPr>
          <w:rFonts w:ascii="Times New Roman" w:hAnsi="Times New Roman" w:cs="Times New Roman"/>
          <w:sz w:val="24"/>
          <w:szCs w:val="24"/>
        </w:rPr>
      </w:pPr>
      <w:r>
        <w:rPr>
          <w:rFonts w:ascii="Times New Roman" w:hAnsi="Times New Roman" w:cs="Times New Roman"/>
          <w:sz w:val="24"/>
          <w:szCs w:val="24"/>
        </w:rPr>
        <w:br w:type="page"/>
      </w:r>
      <w:r w:rsidR="00184EBE">
        <w:rPr>
          <w:rFonts w:ascii="Times New Roman" w:hAnsi="Times New Roman" w:cs="Times New Roman"/>
          <w:sz w:val="24"/>
          <w:szCs w:val="24"/>
        </w:rPr>
        <w:lastRenderedPageBreak/>
        <w:t>Figure</w:t>
      </w:r>
      <w:r w:rsidR="00554048">
        <w:rPr>
          <w:rFonts w:ascii="Times New Roman" w:hAnsi="Times New Roman" w:cs="Times New Roman"/>
          <w:sz w:val="24"/>
          <w:szCs w:val="24"/>
        </w:rPr>
        <w:t xml:space="preserve"> 1</w:t>
      </w:r>
      <w:r w:rsidR="00357187">
        <w:rPr>
          <w:rFonts w:ascii="Times New Roman" w:hAnsi="Times New Roman" w:cs="Times New Roman"/>
          <w:sz w:val="24"/>
          <w:szCs w:val="24"/>
        </w:rPr>
        <w:t>: Structure of The United Kingdom’s GDP</w:t>
      </w:r>
    </w:p>
    <w:p w:rsidR="00432E26" w:rsidRDefault="00432E26" w:rsidP="00432E26">
      <w:pPr>
        <w:jc w:val="center"/>
        <w:rPr>
          <w:rFonts w:ascii="Times New Roman" w:hAnsi="Times New Roman" w:cs="Times New Roman"/>
          <w:sz w:val="24"/>
          <w:szCs w:val="24"/>
        </w:rPr>
      </w:pPr>
      <w:r>
        <w:rPr>
          <w:noProof/>
          <w:lang w:eastAsia="en-GB"/>
        </w:rPr>
        <w:drawing>
          <wp:inline distT="0" distB="0" distL="0" distR="0" wp14:anchorId="1483F432" wp14:editId="253BD352">
            <wp:extent cx="5642228" cy="5411972"/>
            <wp:effectExtent l="0" t="0" r="0" b="0"/>
            <wp:docPr id="3" name="Picture 3" descr="http://upload.wikimedia.org/wikipedia/commons/5/51/Nominal_GDP_Income_Appro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5/51/Nominal_GDP_Income_Approa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2820" cy="5412540"/>
                    </a:xfrm>
                    <a:prstGeom prst="rect">
                      <a:avLst/>
                    </a:prstGeom>
                    <a:noFill/>
                    <a:ln>
                      <a:noFill/>
                    </a:ln>
                  </pic:spPr>
                </pic:pic>
              </a:graphicData>
            </a:graphic>
          </wp:inline>
        </w:drawing>
      </w:r>
    </w:p>
    <w:p w:rsidR="008C6CC3" w:rsidRDefault="00A15F62" w:rsidP="00A15F62">
      <w:pPr>
        <w:jc w:val="both"/>
        <w:rPr>
          <w:rFonts w:ascii="Times New Roman" w:hAnsi="Times New Roman" w:cs="Times New Roman"/>
          <w:sz w:val="24"/>
          <w:szCs w:val="24"/>
        </w:rPr>
      </w:pPr>
      <w:r>
        <w:rPr>
          <w:rFonts w:ascii="Times New Roman" w:hAnsi="Times New Roman" w:cs="Times New Roman"/>
          <w:sz w:val="24"/>
          <w:szCs w:val="24"/>
        </w:rPr>
        <w:t>What must alarm us is that “rent” has virtually disappeared</w:t>
      </w:r>
      <w:r w:rsidR="00432E26">
        <w:rPr>
          <w:rFonts w:ascii="Times New Roman" w:hAnsi="Times New Roman" w:cs="Times New Roman"/>
          <w:sz w:val="24"/>
          <w:szCs w:val="24"/>
        </w:rPr>
        <w:t xml:space="preserve"> from the picture</w:t>
      </w:r>
      <w:r>
        <w:rPr>
          <w:rFonts w:ascii="Times New Roman" w:hAnsi="Times New Roman" w:cs="Times New Roman"/>
          <w:sz w:val="24"/>
          <w:szCs w:val="24"/>
        </w:rPr>
        <w:t xml:space="preserve">. This, however, is because the accounts show only the surface flows of income. The great bulk of the rents from land and natural resources lie hidden beneath, or have been </w:t>
      </w:r>
      <w:r w:rsidR="008C6CC3">
        <w:rPr>
          <w:rFonts w:ascii="Times New Roman" w:hAnsi="Times New Roman" w:cs="Times New Roman"/>
          <w:sz w:val="24"/>
          <w:szCs w:val="24"/>
        </w:rPr>
        <w:t>given wrong labels.</w:t>
      </w:r>
      <w:r w:rsidR="00962A61">
        <w:rPr>
          <w:rFonts w:ascii="Times New Roman" w:hAnsi="Times New Roman" w:cs="Times New Roman"/>
          <w:sz w:val="24"/>
          <w:szCs w:val="24"/>
        </w:rPr>
        <w:t xml:space="preserve"> In tune with modern mathematical economics land is no longer a distinct factor of production as it was with the classical economists, notably Adam Smith, David Ricardo, John Stuart Mill and Henry George. Instead we have only labour aided by “Capital”, earning wages and profits. Land is conflated with “Capital” and its income </w:t>
      </w:r>
      <w:r w:rsidR="004775C6">
        <w:rPr>
          <w:rFonts w:ascii="Times New Roman" w:hAnsi="Times New Roman" w:cs="Times New Roman"/>
          <w:sz w:val="24"/>
          <w:szCs w:val="24"/>
        </w:rPr>
        <w:t xml:space="preserve">is assigned </w:t>
      </w:r>
      <w:r w:rsidR="00962A61">
        <w:rPr>
          <w:rFonts w:ascii="Times New Roman" w:hAnsi="Times New Roman" w:cs="Times New Roman"/>
          <w:sz w:val="24"/>
          <w:szCs w:val="24"/>
        </w:rPr>
        <w:t>no special significance.</w:t>
      </w:r>
    </w:p>
    <w:p w:rsidR="00962A61" w:rsidRDefault="00962A61" w:rsidP="00A15F62">
      <w:pPr>
        <w:jc w:val="both"/>
        <w:rPr>
          <w:rFonts w:ascii="Times New Roman" w:hAnsi="Times New Roman" w:cs="Times New Roman"/>
          <w:sz w:val="24"/>
          <w:szCs w:val="24"/>
        </w:rPr>
      </w:pPr>
      <w:r>
        <w:rPr>
          <w:rFonts w:ascii="Times New Roman" w:hAnsi="Times New Roman" w:cs="Times New Roman"/>
          <w:sz w:val="24"/>
          <w:szCs w:val="24"/>
        </w:rPr>
        <w:t>This involves an egregious fallacy of composition: that what is true of the individual is also true of the whole. The individual may invest indifferently in “God-given” land and/or man-made capital and hope to maximise her returns accordingly.</w:t>
      </w:r>
      <w:r w:rsidR="00B1419F">
        <w:rPr>
          <w:rFonts w:ascii="Times New Roman" w:hAnsi="Times New Roman" w:cs="Times New Roman"/>
          <w:sz w:val="24"/>
          <w:szCs w:val="24"/>
        </w:rPr>
        <w:t xml:space="preserve"> If she invests in machinery, equipment, and raw materials that have been extracted from the ground she has added to the stock of capital goods that aid labour to produce wealth (including new capital goods and bui</w:t>
      </w:r>
      <w:r w:rsidR="009C7F3B">
        <w:rPr>
          <w:rFonts w:ascii="Times New Roman" w:hAnsi="Times New Roman" w:cs="Times New Roman"/>
          <w:sz w:val="24"/>
          <w:szCs w:val="24"/>
        </w:rPr>
        <w:t xml:space="preserve">ldings). If she purchases land – whether </w:t>
      </w:r>
      <w:r w:rsidR="00B1419F">
        <w:rPr>
          <w:rFonts w:ascii="Times New Roman" w:hAnsi="Times New Roman" w:cs="Times New Roman"/>
          <w:sz w:val="24"/>
          <w:szCs w:val="24"/>
        </w:rPr>
        <w:t xml:space="preserve">as an empty plot or as the ground beneath a house, a factory, a shop or </w:t>
      </w:r>
      <w:r w:rsidR="009C7F3B">
        <w:rPr>
          <w:rFonts w:ascii="Times New Roman" w:hAnsi="Times New Roman" w:cs="Times New Roman"/>
          <w:sz w:val="24"/>
          <w:szCs w:val="24"/>
        </w:rPr>
        <w:t xml:space="preserve">an </w:t>
      </w:r>
      <w:r w:rsidR="00B1419F">
        <w:rPr>
          <w:rFonts w:ascii="Times New Roman" w:hAnsi="Times New Roman" w:cs="Times New Roman"/>
          <w:sz w:val="24"/>
          <w:szCs w:val="24"/>
        </w:rPr>
        <w:t>office</w:t>
      </w:r>
      <w:r w:rsidR="009C7F3B">
        <w:rPr>
          <w:rFonts w:ascii="Times New Roman" w:hAnsi="Times New Roman" w:cs="Times New Roman"/>
          <w:sz w:val="24"/>
          <w:szCs w:val="24"/>
        </w:rPr>
        <w:t xml:space="preserve"> – she </w:t>
      </w:r>
      <w:r w:rsidR="00B1419F">
        <w:rPr>
          <w:rFonts w:ascii="Times New Roman" w:hAnsi="Times New Roman" w:cs="Times New Roman"/>
          <w:sz w:val="24"/>
          <w:szCs w:val="24"/>
        </w:rPr>
        <w:t xml:space="preserve">is persuading an existing owner to transfer its </w:t>
      </w:r>
      <w:r w:rsidR="00B1419F">
        <w:rPr>
          <w:rFonts w:ascii="Times New Roman" w:hAnsi="Times New Roman" w:cs="Times New Roman"/>
          <w:sz w:val="24"/>
          <w:szCs w:val="24"/>
        </w:rPr>
        <w:lastRenderedPageBreak/>
        <w:t>ownership. Nothing has been created thereby. It is a mere transfer payment.</w:t>
      </w:r>
      <w:r w:rsidR="00AC59EF">
        <w:rPr>
          <w:rFonts w:ascii="Times New Roman" w:hAnsi="Times New Roman" w:cs="Times New Roman"/>
          <w:sz w:val="24"/>
          <w:szCs w:val="24"/>
        </w:rPr>
        <w:t xml:space="preserve"> From the social standpoint, rent is not a cost. But, rent payments are the way that land is apportioned between its competing uses. </w:t>
      </w:r>
    </w:p>
    <w:p w:rsidR="00AC59EF" w:rsidRDefault="00AC59EF" w:rsidP="00A15F62">
      <w:pPr>
        <w:jc w:val="both"/>
        <w:rPr>
          <w:rFonts w:ascii="Times New Roman" w:hAnsi="Times New Roman" w:cs="Times New Roman"/>
          <w:sz w:val="24"/>
          <w:szCs w:val="24"/>
        </w:rPr>
      </w:pPr>
      <w:r>
        <w:rPr>
          <w:rFonts w:ascii="Times New Roman" w:hAnsi="Times New Roman" w:cs="Times New Roman"/>
          <w:sz w:val="24"/>
          <w:szCs w:val="24"/>
        </w:rPr>
        <w:t>In purchasing or renting a house, a factory, a shop, an office or farm, the land rent element may be almost zero or it may be close to the whole cost to the individual, depending on its location – Ran</w:t>
      </w:r>
      <w:r w:rsidR="009C7F3B">
        <w:rPr>
          <w:rFonts w:ascii="Times New Roman" w:hAnsi="Times New Roman" w:cs="Times New Roman"/>
          <w:sz w:val="24"/>
          <w:szCs w:val="24"/>
        </w:rPr>
        <w:t>noch Moor or Buchanan Street?</w:t>
      </w:r>
      <w:r>
        <w:rPr>
          <w:rFonts w:ascii="Times New Roman" w:hAnsi="Times New Roman" w:cs="Times New Roman"/>
          <w:sz w:val="24"/>
          <w:szCs w:val="24"/>
        </w:rPr>
        <w:t xml:space="preserve"> But in both cases the national income accountant will treat the payments as capital investments and </w:t>
      </w:r>
      <w:r w:rsidR="00937461">
        <w:rPr>
          <w:rFonts w:ascii="Times New Roman" w:hAnsi="Times New Roman" w:cs="Times New Roman"/>
          <w:sz w:val="24"/>
          <w:szCs w:val="24"/>
        </w:rPr>
        <w:t xml:space="preserve">record </w:t>
      </w:r>
      <w:r>
        <w:rPr>
          <w:rFonts w:ascii="Times New Roman" w:hAnsi="Times New Roman" w:cs="Times New Roman"/>
          <w:sz w:val="24"/>
          <w:szCs w:val="24"/>
        </w:rPr>
        <w:t xml:space="preserve">the incomes as a return on capital </w:t>
      </w:r>
      <w:r w:rsidR="007B6E59">
        <w:rPr>
          <w:rFonts w:ascii="Times New Roman" w:hAnsi="Times New Roman" w:cs="Times New Roman"/>
          <w:sz w:val="24"/>
          <w:szCs w:val="24"/>
        </w:rPr>
        <w:t xml:space="preserve">or “gross operating surplus” (as above) </w:t>
      </w:r>
      <w:r>
        <w:rPr>
          <w:rFonts w:ascii="Times New Roman" w:hAnsi="Times New Roman" w:cs="Times New Roman"/>
          <w:sz w:val="24"/>
          <w:szCs w:val="24"/>
        </w:rPr>
        <w:t>– except in the relatively rare cases wh</w:t>
      </w:r>
      <w:r w:rsidR="007B6E59">
        <w:rPr>
          <w:rFonts w:ascii="Times New Roman" w:hAnsi="Times New Roman" w:cs="Times New Roman"/>
          <w:sz w:val="24"/>
          <w:szCs w:val="24"/>
        </w:rPr>
        <w:t>ere bare land is changing hands and being held.</w:t>
      </w:r>
    </w:p>
    <w:p w:rsidR="0067497C" w:rsidRDefault="0067497C" w:rsidP="00A15F62">
      <w:pPr>
        <w:jc w:val="both"/>
        <w:rPr>
          <w:rFonts w:ascii="Times New Roman" w:hAnsi="Times New Roman" w:cs="Times New Roman"/>
          <w:sz w:val="24"/>
          <w:szCs w:val="24"/>
        </w:rPr>
      </w:pPr>
      <w:r>
        <w:rPr>
          <w:rFonts w:ascii="Times New Roman" w:hAnsi="Times New Roman" w:cs="Times New Roman"/>
          <w:sz w:val="24"/>
          <w:szCs w:val="24"/>
        </w:rPr>
        <w:t>It is not as difficult to separate the land element from the value of the buildings as is often claimed. Professional assessors do this all the time. Glasgow City Council conducted a pilot study in the East End of Glasgow in 2008-09 and found few problems in moving to at least a hybrid LVT-Council tax system, with a purer LVT system recommended for the longer-term</w:t>
      </w:r>
      <w:r w:rsidR="0059245E">
        <w:rPr>
          <w:rFonts w:ascii="Times New Roman" w:hAnsi="Times New Roman" w:cs="Times New Roman"/>
          <w:sz w:val="24"/>
          <w:szCs w:val="24"/>
        </w:rPr>
        <w:t xml:space="preserve">. Much more difficult than assessing the rental value of land was assessing the value of the heterogeneous buildings thereon, </w:t>
      </w:r>
      <w:r w:rsidR="00937461">
        <w:rPr>
          <w:rFonts w:ascii="Times New Roman" w:hAnsi="Times New Roman" w:cs="Times New Roman"/>
          <w:sz w:val="24"/>
          <w:szCs w:val="24"/>
        </w:rPr>
        <w:t xml:space="preserve">since that </w:t>
      </w:r>
      <w:r w:rsidR="0059245E">
        <w:rPr>
          <w:rFonts w:ascii="Times New Roman" w:hAnsi="Times New Roman" w:cs="Times New Roman"/>
          <w:sz w:val="24"/>
          <w:szCs w:val="24"/>
        </w:rPr>
        <w:t>requires determining the sta</w:t>
      </w:r>
      <w:r w:rsidR="00937461">
        <w:rPr>
          <w:rFonts w:ascii="Times New Roman" w:hAnsi="Times New Roman" w:cs="Times New Roman"/>
          <w:sz w:val="24"/>
          <w:szCs w:val="24"/>
        </w:rPr>
        <w:t>t</w:t>
      </w:r>
      <w:r w:rsidR="0059245E">
        <w:rPr>
          <w:rFonts w:ascii="Times New Roman" w:hAnsi="Times New Roman" w:cs="Times New Roman"/>
          <w:sz w:val="24"/>
          <w:szCs w:val="24"/>
        </w:rPr>
        <w:t xml:space="preserve">e of each individual building’s </w:t>
      </w:r>
      <w:r>
        <w:rPr>
          <w:rFonts w:ascii="Times New Roman" w:hAnsi="Times New Roman" w:cs="Times New Roman"/>
          <w:sz w:val="24"/>
          <w:szCs w:val="24"/>
        </w:rPr>
        <w:t xml:space="preserve">fabric, </w:t>
      </w:r>
      <w:r w:rsidR="0059245E">
        <w:rPr>
          <w:rFonts w:ascii="Times New Roman" w:hAnsi="Times New Roman" w:cs="Times New Roman"/>
          <w:sz w:val="24"/>
          <w:szCs w:val="24"/>
        </w:rPr>
        <w:t xml:space="preserve">fittings, </w:t>
      </w:r>
      <w:r>
        <w:rPr>
          <w:rFonts w:ascii="Times New Roman" w:hAnsi="Times New Roman" w:cs="Times New Roman"/>
          <w:sz w:val="24"/>
          <w:szCs w:val="24"/>
        </w:rPr>
        <w:t xml:space="preserve">extensions, etc. </w:t>
      </w:r>
      <w:r w:rsidR="0059245E">
        <w:rPr>
          <w:rFonts w:ascii="Times New Roman" w:hAnsi="Times New Roman" w:cs="Times New Roman"/>
          <w:sz w:val="24"/>
          <w:szCs w:val="24"/>
        </w:rPr>
        <w:t xml:space="preserve">Less was easier </w:t>
      </w:r>
      <w:r w:rsidR="00E269D7">
        <w:rPr>
          <w:rFonts w:ascii="Times New Roman" w:hAnsi="Times New Roman" w:cs="Times New Roman"/>
          <w:sz w:val="24"/>
          <w:szCs w:val="24"/>
        </w:rPr>
        <w:t xml:space="preserve">to do </w:t>
      </w:r>
      <w:r w:rsidR="0059245E">
        <w:rPr>
          <w:rFonts w:ascii="Times New Roman" w:hAnsi="Times New Roman" w:cs="Times New Roman"/>
          <w:sz w:val="24"/>
          <w:szCs w:val="24"/>
        </w:rPr>
        <w:t>than more. As they say in Spain: “Quien puede mas puede menos.”</w:t>
      </w:r>
    </w:p>
    <w:p w:rsidR="0059245E" w:rsidRDefault="0059245E" w:rsidP="00A15F62">
      <w:pPr>
        <w:jc w:val="both"/>
        <w:rPr>
          <w:rFonts w:ascii="Times New Roman" w:hAnsi="Times New Roman" w:cs="Times New Roman"/>
          <w:sz w:val="24"/>
          <w:szCs w:val="24"/>
        </w:rPr>
      </w:pPr>
      <w:r>
        <w:rPr>
          <w:rFonts w:ascii="Times New Roman" w:hAnsi="Times New Roman" w:cs="Times New Roman"/>
          <w:sz w:val="24"/>
          <w:szCs w:val="24"/>
        </w:rPr>
        <w:t xml:space="preserve">Clearly, businesses and households that own their own buildings own also the land on which the buildings stand. But these businesses report their overall income and profits (the national accounts’ “gross operating surplus”) as </w:t>
      </w:r>
      <w:r w:rsidR="00937461">
        <w:rPr>
          <w:rFonts w:ascii="Times New Roman" w:hAnsi="Times New Roman" w:cs="Times New Roman"/>
          <w:sz w:val="24"/>
          <w:szCs w:val="24"/>
        </w:rPr>
        <w:t xml:space="preserve">undifferentiated </w:t>
      </w:r>
      <w:r>
        <w:rPr>
          <w:rFonts w:ascii="Times New Roman" w:hAnsi="Times New Roman" w:cs="Times New Roman"/>
          <w:sz w:val="24"/>
          <w:szCs w:val="24"/>
        </w:rPr>
        <w:t xml:space="preserve">“income” rather than rents </w:t>
      </w:r>
      <w:r w:rsidR="00937461">
        <w:rPr>
          <w:rFonts w:ascii="Times New Roman" w:hAnsi="Times New Roman" w:cs="Times New Roman"/>
          <w:sz w:val="24"/>
          <w:szCs w:val="24"/>
        </w:rPr>
        <w:t xml:space="preserve">on their </w:t>
      </w:r>
      <w:r w:rsidR="001C0DEA">
        <w:rPr>
          <w:rFonts w:ascii="Times New Roman" w:hAnsi="Times New Roman" w:cs="Times New Roman"/>
          <w:sz w:val="24"/>
          <w:szCs w:val="24"/>
        </w:rPr>
        <w:t xml:space="preserve">use of land </w:t>
      </w:r>
      <w:r>
        <w:rPr>
          <w:rFonts w:ascii="Times New Roman" w:hAnsi="Times New Roman" w:cs="Times New Roman"/>
          <w:sz w:val="24"/>
          <w:szCs w:val="24"/>
        </w:rPr>
        <w:t>plus profit on capital.</w:t>
      </w:r>
      <w:r w:rsidR="00937461">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Similarly</w:t>
      </w:r>
      <w:r w:rsidR="00AA2ED8">
        <w:rPr>
          <w:rFonts w:ascii="Times New Roman" w:hAnsi="Times New Roman" w:cs="Times New Roman"/>
          <w:sz w:val="24"/>
          <w:szCs w:val="24"/>
        </w:rPr>
        <w:t>,</w:t>
      </w:r>
      <w:r>
        <w:rPr>
          <w:rFonts w:ascii="Times New Roman" w:hAnsi="Times New Roman" w:cs="Times New Roman"/>
          <w:sz w:val="24"/>
          <w:szCs w:val="24"/>
        </w:rPr>
        <w:t xml:space="preserve"> owner</w:t>
      </w:r>
      <w:r w:rsidR="00937461">
        <w:rPr>
          <w:rFonts w:ascii="Times New Roman" w:hAnsi="Times New Roman" w:cs="Times New Roman"/>
          <w:sz w:val="24"/>
          <w:szCs w:val="24"/>
        </w:rPr>
        <w:t>-</w:t>
      </w:r>
      <w:r>
        <w:rPr>
          <w:rFonts w:ascii="Times New Roman" w:hAnsi="Times New Roman" w:cs="Times New Roman"/>
          <w:sz w:val="24"/>
          <w:szCs w:val="24"/>
        </w:rPr>
        <w:t>occupant households are not assessed on the “imputed rents” they enjoy from the locational benefit they gain from their neighbourhood</w:t>
      </w:r>
      <w:r w:rsidR="001C0DEA">
        <w:rPr>
          <w:rFonts w:ascii="Times New Roman" w:hAnsi="Times New Roman" w:cs="Times New Roman"/>
          <w:sz w:val="24"/>
          <w:szCs w:val="24"/>
        </w:rPr>
        <w:t xml:space="preserve">s’ various social </w:t>
      </w:r>
      <w:r w:rsidR="00AA2ED8">
        <w:rPr>
          <w:rFonts w:ascii="Times New Roman" w:hAnsi="Times New Roman" w:cs="Times New Roman"/>
          <w:sz w:val="24"/>
          <w:szCs w:val="24"/>
        </w:rPr>
        <w:t xml:space="preserve">amenities that give their land </w:t>
      </w:r>
      <w:r w:rsidR="00937461">
        <w:rPr>
          <w:rFonts w:ascii="Times New Roman" w:hAnsi="Times New Roman" w:cs="Times New Roman"/>
          <w:sz w:val="24"/>
          <w:szCs w:val="24"/>
        </w:rPr>
        <w:t xml:space="preserve">its </w:t>
      </w:r>
      <w:r w:rsidR="00AA2ED8">
        <w:rPr>
          <w:rFonts w:ascii="Times New Roman" w:hAnsi="Times New Roman" w:cs="Times New Roman"/>
          <w:sz w:val="24"/>
          <w:szCs w:val="24"/>
        </w:rPr>
        <w:t xml:space="preserve">value. </w:t>
      </w:r>
    </w:p>
    <w:p w:rsidR="007B6E59" w:rsidRDefault="007B6E59" w:rsidP="00A15F62">
      <w:pPr>
        <w:jc w:val="both"/>
        <w:rPr>
          <w:rFonts w:ascii="Times New Roman" w:hAnsi="Times New Roman" w:cs="Times New Roman"/>
          <w:sz w:val="24"/>
          <w:szCs w:val="24"/>
        </w:rPr>
      </w:pPr>
      <w:r>
        <w:rPr>
          <w:rFonts w:ascii="Times New Roman" w:hAnsi="Times New Roman" w:cs="Times New Roman"/>
          <w:sz w:val="24"/>
          <w:szCs w:val="24"/>
        </w:rPr>
        <w:t>However, the story does not end there. “Land” in the classical economics of Smith and Ricardo is the entire universe apart from man and his products. It includes (as Mason Gaffney [2009] has so comprehensively listed</w:t>
      </w:r>
      <w:r w:rsidR="00675D59">
        <w:rPr>
          <w:rFonts w:ascii="Times New Roman" w:hAnsi="Times New Roman" w:cs="Times New Roman"/>
          <w:sz w:val="24"/>
          <w:szCs w:val="24"/>
        </w:rPr>
        <w:t>)</w:t>
      </w:r>
      <w:r>
        <w:rPr>
          <w:rFonts w:ascii="Times New Roman" w:hAnsi="Times New Roman" w:cs="Times New Roman"/>
          <w:sz w:val="24"/>
          <w:szCs w:val="24"/>
        </w:rPr>
        <w:t xml:space="preserve">, such </w:t>
      </w:r>
      <w:r w:rsidR="00675D59">
        <w:rPr>
          <w:rFonts w:ascii="Times New Roman" w:hAnsi="Times New Roman" w:cs="Times New Roman"/>
          <w:sz w:val="24"/>
          <w:szCs w:val="24"/>
        </w:rPr>
        <w:t xml:space="preserve">extremely valuable </w:t>
      </w:r>
      <w:r>
        <w:rPr>
          <w:rFonts w:ascii="Times New Roman" w:hAnsi="Times New Roman" w:cs="Times New Roman"/>
          <w:sz w:val="24"/>
          <w:szCs w:val="24"/>
        </w:rPr>
        <w:t>natural resources as the radio spectrum</w:t>
      </w:r>
      <w:r w:rsidR="00675D59">
        <w:rPr>
          <w:rFonts w:ascii="Times New Roman" w:hAnsi="Times New Roman" w:cs="Times New Roman"/>
          <w:sz w:val="24"/>
          <w:szCs w:val="24"/>
        </w:rPr>
        <w:t>, oil beneath the sea</w:t>
      </w:r>
      <w:r w:rsidR="00AA2ED8">
        <w:rPr>
          <w:rStyle w:val="FootnoteReference"/>
          <w:rFonts w:ascii="Times New Roman" w:hAnsi="Times New Roman" w:cs="Times New Roman"/>
          <w:sz w:val="24"/>
          <w:szCs w:val="24"/>
        </w:rPr>
        <w:footnoteReference w:id="4"/>
      </w:r>
      <w:r w:rsidR="00675D59">
        <w:rPr>
          <w:rFonts w:ascii="Times New Roman" w:hAnsi="Times New Roman" w:cs="Times New Roman"/>
          <w:sz w:val="24"/>
          <w:szCs w:val="24"/>
        </w:rPr>
        <w:t xml:space="preserve"> other minerals beneath the ground, our </w:t>
      </w:r>
      <w:r w:rsidR="001C0DEA">
        <w:rPr>
          <w:rFonts w:ascii="Times New Roman" w:hAnsi="Times New Roman" w:cs="Times New Roman"/>
          <w:sz w:val="24"/>
          <w:szCs w:val="24"/>
        </w:rPr>
        <w:t xml:space="preserve">harbours, </w:t>
      </w:r>
      <w:r w:rsidR="00675D59">
        <w:rPr>
          <w:rFonts w:ascii="Times New Roman" w:hAnsi="Times New Roman" w:cs="Times New Roman"/>
          <w:sz w:val="24"/>
          <w:szCs w:val="24"/>
        </w:rPr>
        <w:t>waterways and sea</w:t>
      </w:r>
      <w:r w:rsidR="00AA2ED8">
        <w:rPr>
          <w:rFonts w:ascii="Times New Roman" w:hAnsi="Times New Roman" w:cs="Times New Roman"/>
          <w:sz w:val="24"/>
          <w:szCs w:val="24"/>
        </w:rPr>
        <w:t>s</w:t>
      </w:r>
      <w:r w:rsidR="00675D59">
        <w:rPr>
          <w:rFonts w:ascii="Times New Roman" w:hAnsi="Times New Roman" w:cs="Times New Roman"/>
          <w:sz w:val="24"/>
          <w:szCs w:val="24"/>
        </w:rPr>
        <w:t xml:space="preserve">, </w:t>
      </w:r>
      <w:r w:rsidR="0049083E">
        <w:rPr>
          <w:rFonts w:ascii="Times New Roman" w:hAnsi="Times New Roman" w:cs="Times New Roman"/>
          <w:sz w:val="24"/>
          <w:szCs w:val="24"/>
        </w:rPr>
        <w:t xml:space="preserve">aircraft landing </w:t>
      </w:r>
      <w:r w:rsidR="001C0DEA">
        <w:rPr>
          <w:rFonts w:ascii="Times New Roman" w:hAnsi="Times New Roman" w:cs="Times New Roman"/>
          <w:sz w:val="24"/>
          <w:szCs w:val="24"/>
        </w:rPr>
        <w:t>slots</w:t>
      </w:r>
      <w:r w:rsidR="0049083E">
        <w:rPr>
          <w:rFonts w:ascii="Times New Roman" w:hAnsi="Times New Roman" w:cs="Times New Roman"/>
          <w:sz w:val="24"/>
          <w:szCs w:val="24"/>
        </w:rPr>
        <w:t xml:space="preserve">, </w:t>
      </w:r>
      <w:r w:rsidR="001C0DEA">
        <w:rPr>
          <w:rFonts w:ascii="Times New Roman" w:hAnsi="Times New Roman" w:cs="Times New Roman"/>
          <w:sz w:val="24"/>
          <w:szCs w:val="24"/>
        </w:rPr>
        <w:t>and road and car parking spaces.</w:t>
      </w:r>
      <w:r w:rsidR="0061618B">
        <w:rPr>
          <w:rStyle w:val="FootnoteReference"/>
          <w:rFonts w:ascii="Times New Roman" w:hAnsi="Times New Roman" w:cs="Times New Roman"/>
          <w:sz w:val="24"/>
          <w:szCs w:val="24"/>
        </w:rPr>
        <w:footnoteReference w:id="5"/>
      </w:r>
      <w:r w:rsidR="00AA2ED8">
        <w:rPr>
          <w:rFonts w:ascii="Times New Roman" w:hAnsi="Times New Roman" w:cs="Times New Roman"/>
          <w:sz w:val="24"/>
          <w:szCs w:val="24"/>
        </w:rPr>
        <w:t xml:space="preserve"> Good climate and beautiful </w:t>
      </w:r>
      <w:r w:rsidR="00AA2ED8">
        <w:rPr>
          <w:rFonts w:ascii="Times New Roman" w:hAnsi="Times New Roman" w:cs="Times New Roman"/>
          <w:sz w:val="24"/>
          <w:szCs w:val="24"/>
        </w:rPr>
        <w:lastRenderedPageBreak/>
        <w:t>views, while free in one sense, are free only to those who can afford the land whose value is enhanced thereby, or who can afford to holiday in such places.</w:t>
      </w:r>
      <w:r w:rsidR="0067497C">
        <w:rPr>
          <w:rFonts w:ascii="Times New Roman" w:hAnsi="Times New Roman" w:cs="Times New Roman"/>
          <w:sz w:val="24"/>
          <w:szCs w:val="24"/>
        </w:rPr>
        <w:t xml:space="preserve"> </w:t>
      </w:r>
    </w:p>
    <w:p w:rsidR="00432E26" w:rsidRDefault="00432E26" w:rsidP="00A15F62">
      <w:pPr>
        <w:jc w:val="both"/>
        <w:rPr>
          <w:rFonts w:ascii="Times New Roman" w:hAnsi="Times New Roman" w:cs="Times New Roman"/>
          <w:sz w:val="24"/>
          <w:szCs w:val="24"/>
        </w:rPr>
      </w:pPr>
      <w:r>
        <w:rPr>
          <w:rFonts w:ascii="Times New Roman" w:hAnsi="Times New Roman" w:cs="Times New Roman"/>
          <w:sz w:val="24"/>
          <w:szCs w:val="24"/>
        </w:rPr>
        <w:t>Next we must consider an even more important omission from conventional estimates of the size of rents</w:t>
      </w:r>
      <w:r w:rsidR="00184EBE">
        <w:rPr>
          <w:rFonts w:ascii="Times New Roman" w:hAnsi="Times New Roman" w:cs="Times New Roman"/>
          <w:sz w:val="24"/>
          <w:szCs w:val="24"/>
        </w:rPr>
        <w:t>.</w:t>
      </w:r>
    </w:p>
    <w:p w:rsidR="00432E26" w:rsidRPr="00432E26" w:rsidRDefault="00432E26" w:rsidP="00A15F62">
      <w:pPr>
        <w:jc w:val="both"/>
        <w:rPr>
          <w:rFonts w:ascii="Times New Roman" w:hAnsi="Times New Roman" w:cs="Times New Roman"/>
          <w:b/>
          <w:sz w:val="24"/>
          <w:szCs w:val="24"/>
        </w:rPr>
      </w:pPr>
      <w:r w:rsidRPr="00432E26">
        <w:rPr>
          <w:rFonts w:ascii="Times New Roman" w:hAnsi="Times New Roman" w:cs="Times New Roman"/>
          <w:b/>
          <w:sz w:val="24"/>
          <w:szCs w:val="24"/>
        </w:rPr>
        <w:t>2.1: Rents and the Incidence of taxation</w:t>
      </w:r>
    </w:p>
    <w:p w:rsidR="0069484B" w:rsidRDefault="00432E26" w:rsidP="00363B07">
      <w:pPr>
        <w:jc w:val="both"/>
        <w:rPr>
          <w:rFonts w:ascii="Times New Roman" w:hAnsi="Times New Roman" w:cs="Times New Roman"/>
          <w:sz w:val="24"/>
          <w:szCs w:val="24"/>
        </w:rPr>
      </w:pPr>
      <w:r>
        <w:rPr>
          <w:rFonts w:ascii="Times New Roman" w:hAnsi="Times New Roman" w:cs="Times New Roman"/>
          <w:sz w:val="24"/>
          <w:szCs w:val="24"/>
        </w:rPr>
        <w:t>The failure to capture the social value of land and its rents as the primary and</w:t>
      </w:r>
      <w:r w:rsidR="003A7E49">
        <w:rPr>
          <w:rFonts w:ascii="Times New Roman" w:hAnsi="Times New Roman" w:cs="Times New Roman"/>
          <w:sz w:val="24"/>
          <w:szCs w:val="24"/>
        </w:rPr>
        <w:t xml:space="preserve"> most natural of state revenues</w:t>
      </w:r>
      <w:r>
        <w:rPr>
          <w:rFonts w:ascii="Times New Roman" w:hAnsi="Times New Roman" w:cs="Times New Roman"/>
          <w:sz w:val="24"/>
          <w:szCs w:val="24"/>
        </w:rPr>
        <w:t xml:space="preserve"> has meant that governments h</w:t>
      </w:r>
      <w:r w:rsidR="00363B07">
        <w:rPr>
          <w:rFonts w:ascii="Times New Roman" w:hAnsi="Times New Roman" w:cs="Times New Roman"/>
          <w:sz w:val="24"/>
          <w:szCs w:val="24"/>
        </w:rPr>
        <w:t>ave turned instead to taxation.</w:t>
      </w:r>
      <w:r w:rsidR="00363B07">
        <w:rPr>
          <w:rStyle w:val="FootnoteReference"/>
          <w:rFonts w:ascii="Times New Roman" w:hAnsi="Times New Roman" w:cs="Times New Roman"/>
          <w:sz w:val="24"/>
          <w:szCs w:val="24"/>
        </w:rPr>
        <w:footnoteReference w:id="6"/>
      </w:r>
    </w:p>
    <w:p w:rsidR="003A7E49" w:rsidRDefault="003A7E49" w:rsidP="00363B07">
      <w:pPr>
        <w:jc w:val="both"/>
        <w:rPr>
          <w:rFonts w:ascii="Times New Roman" w:hAnsi="Times New Roman" w:cs="Times New Roman"/>
          <w:sz w:val="24"/>
          <w:szCs w:val="24"/>
        </w:rPr>
      </w:pPr>
      <w:r>
        <w:rPr>
          <w:rFonts w:ascii="Times New Roman" w:hAnsi="Times New Roman" w:cs="Times New Roman"/>
          <w:sz w:val="24"/>
          <w:szCs w:val="24"/>
        </w:rPr>
        <w:t xml:space="preserve">As </w:t>
      </w:r>
      <w:r w:rsidR="00DA281A">
        <w:rPr>
          <w:rFonts w:ascii="Times New Roman" w:hAnsi="Times New Roman" w:cs="Times New Roman"/>
          <w:sz w:val="24"/>
          <w:szCs w:val="24"/>
        </w:rPr>
        <w:t>indicated above</w:t>
      </w:r>
      <w:r>
        <w:rPr>
          <w:rFonts w:ascii="Times New Roman" w:hAnsi="Times New Roman" w:cs="Times New Roman"/>
          <w:sz w:val="24"/>
          <w:szCs w:val="24"/>
        </w:rPr>
        <w:t xml:space="preserve">, wages and the return on capital (properly defined) tend to where they currently equilibrate supply and demand at a similar price for each type of work or enterprise, dependent on the skills or risks involved. </w:t>
      </w:r>
      <w:r w:rsidR="00FF22B3">
        <w:rPr>
          <w:rFonts w:ascii="Times New Roman" w:hAnsi="Times New Roman" w:cs="Times New Roman"/>
          <w:sz w:val="24"/>
          <w:szCs w:val="24"/>
        </w:rPr>
        <w:t xml:space="preserve">The going wage and profit rates are determined at the margin. </w:t>
      </w:r>
      <w:r w:rsidR="00DA281A">
        <w:rPr>
          <w:rFonts w:ascii="Times New Roman" w:hAnsi="Times New Roman" w:cs="Times New Roman"/>
          <w:sz w:val="24"/>
          <w:szCs w:val="24"/>
        </w:rPr>
        <w:t>While n</w:t>
      </w:r>
      <w:r>
        <w:rPr>
          <w:rFonts w:ascii="Times New Roman" w:hAnsi="Times New Roman" w:cs="Times New Roman"/>
          <w:sz w:val="24"/>
          <w:szCs w:val="24"/>
        </w:rPr>
        <w:t>either labour nor capital are perfectly elastic to wage or profit differentials, especially in the short run</w:t>
      </w:r>
      <w:r w:rsidR="00DA281A">
        <w:rPr>
          <w:rFonts w:ascii="Times New Roman" w:hAnsi="Times New Roman" w:cs="Times New Roman"/>
          <w:sz w:val="24"/>
          <w:szCs w:val="24"/>
        </w:rPr>
        <w:t xml:space="preserve">, nevertheless strong </w:t>
      </w:r>
      <w:r>
        <w:rPr>
          <w:rFonts w:ascii="Times New Roman" w:hAnsi="Times New Roman" w:cs="Times New Roman"/>
          <w:sz w:val="24"/>
          <w:szCs w:val="24"/>
        </w:rPr>
        <w:t>equalising pressures exist in the absence of artificial barriers to mobility.</w:t>
      </w:r>
    </w:p>
    <w:p w:rsidR="00FF22B3" w:rsidRDefault="00FF22B3" w:rsidP="00363B07">
      <w:pPr>
        <w:jc w:val="both"/>
        <w:rPr>
          <w:rFonts w:ascii="Times New Roman" w:hAnsi="Times New Roman" w:cs="Times New Roman"/>
          <w:sz w:val="24"/>
          <w:szCs w:val="24"/>
        </w:rPr>
      </w:pPr>
      <w:r>
        <w:rPr>
          <w:rFonts w:ascii="Times New Roman" w:hAnsi="Times New Roman" w:cs="Times New Roman"/>
          <w:sz w:val="24"/>
          <w:szCs w:val="24"/>
        </w:rPr>
        <w:t xml:space="preserve">If taxes are imposed on labour and capital, </w:t>
      </w:r>
      <w:r w:rsidR="00DA281A">
        <w:rPr>
          <w:rFonts w:ascii="Times New Roman" w:hAnsi="Times New Roman" w:cs="Times New Roman"/>
          <w:sz w:val="24"/>
          <w:szCs w:val="24"/>
        </w:rPr>
        <w:t xml:space="preserve">their </w:t>
      </w:r>
      <w:r>
        <w:rPr>
          <w:rFonts w:ascii="Times New Roman" w:hAnsi="Times New Roman" w:cs="Times New Roman"/>
          <w:sz w:val="24"/>
          <w:szCs w:val="24"/>
        </w:rPr>
        <w:t>costs rise above w</w:t>
      </w:r>
      <w:r w:rsidR="00DA281A">
        <w:rPr>
          <w:rFonts w:ascii="Times New Roman" w:hAnsi="Times New Roman" w:cs="Times New Roman"/>
          <w:sz w:val="24"/>
          <w:szCs w:val="24"/>
        </w:rPr>
        <w:t>hat can be earned at the margin</w:t>
      </w:r>
      <w:r>
        <w:rPr>
          <w:rFonts w:ascii="Times New Roman" w:hAnsi="Times New Roman" w:cs="Times New Roman"/>
          <w:sz w:val="24"/>
          <w:szCs w:val="24"/>
        </w:rPr>
        <w:t xml:space="preserve"> where rents are zero or very low. Rents cannot be negative for long, so labour and/or capital must bear the taxes. If their incomes thus fall below minimum acceptable levels their supply and their </w:t>
      </w:r>
      <w:r w:rsidR="00DA281A">
        <w:rPr>
          <w:rFonts w:ascii="Times New Roman" w:hAnsi="Times New Roman" w:cs="Times New Roman"/>
          <w:sz w:val="24"/>
          <w:szCs w:val="24"/>
        </w:rPr>
        <w:t xml:space="preserve">product </w:t>
      </w:r>
      <w:r>
        <w:rPr>
          <w:rFonts w:ascii="Times New Roman" w:hAnsi="Times New Roman" w:cs="Times New Roman"/>
          <w:sz w:val="24"/>
          <w:szCs w:val="24"/>
        </w:rPr>
        <w:t>will fall.</w:t>
      </w:r>
    </w:p>
    <w:p w:rsidR="008478A1" w:rsidRDefault="008478A1" w:rsidP="00363B07">
      <w:pPr>
        <w:jc w:val="both"/>
        <w:rPr>
          <w:rFonts w:ascii="Times New Roman" w:hAnsi="Times New Roman" w:cs="Times New Roman"/>
          <w:sz w:val="24"/>
          <w:szCs w:val="24"/>
        </w:rPr>
      </w:pPr>
      <w:r>
        <w:rPr>
          <w:rFonts w:ascii="Times New Roman" w:hAnsi="Times New Roman" w:cs="Times New Roman"/>
          <w:sz w:val="24"/>
          <w:szCs w:val="24"/>
        </w:rPr>
        <w:t xml:space="preserve">This is the source of one element in the so-called “deadweight losses” or “excess burdens” of taxes. </w:t>
      </w:r>
    </w:p>
    <w:p w:rsidR="008478A1" w:rsidRPr="00560637" w:rsidRDefault="008478A1" w:rsidP="00363B07">
      <w:pPr>
        <w:jc w:val="both"/>
        <w:rPr>
          <w:rFonts w:ascii="Times New Roman" w:hAnsi="Times New Roman" w:cs="Times New Roman"/>
          <w:sz w:val="24"/>
          <w:szCs w:val="24"/>
        </w:rPr>
      </w:pPr>
      <w:r>
        <w:rPr>
          <w:rFonts w:ascii="Times New Roman" w:hAnsi="Times New Roman" w:cs="Times New Roman"/>
          <w:sz w:val="24"/>
          <w:szCs w:val="24"/>
        </w:rPr>
        <w:t>However, for the labour and capital that operate</w:t>
      </w:r>
      <w:r w:rsidR="00560637">
        <w:rPr>
          <w:rFonts w:ascii="Times New Roman" w:hAnsi="Times New Roman" w:cs="Times New Roman"/>
          <w:sz w:val="24"/>
          <w:szCs w:val="24"/>
        </w:rPr>
        <w:t xml:space="preserve"> at superior</w:t>
      </w:r>
      <w:r>
        <w:rPr>
          <w:rFonts w:ascii="Times New Roman" w:hAnsi="Times New Roman" w:cs="Times New Roman"/>
          <w:sz w:val="24"/>
          <w:szCs w:val="24"/>
        </w:rPr>
        <w:t xml:space="preserve"> “intra-marginal” locations, the owners of the land will have been capturing Ricardian rents or surpluses. These are market determined and cannot be increased to absorb the tax on earned incomes.</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560637">
        <w:rPr>
          <w:rFonts w:ascii="Times New Roman" w:hAnsi="Times New Roman" w:cs="Times New Roman"/>
          <w:sz w:val="24"/>
          <w:szCs w:val="24"/>
        </w:rPr>
        <w:t xml:space="preserve">To preserve activity there, rents must absorb the </w:t>
      </w:r>
      <w:r w:rsidR="00560637" w:rsidRPr="00560637">
        <w:rPr>
          <w:rFonts w:ascii="Times New Roman" w:hAnsi="Times New Roman" w:cs="Times New Roman"/>
          <w:sz w:val="24"/>
          <w:szCs w:val="24"/>
        </w:rPr>
        <w:t xml:space="preserve">cost of the taxes. </w:t>
      </w:r>
    </w:p>
    <w:p w:rsidR="00560637" w:rsidRPr="00560637" w:rsidRDefault="00560637" w:rsidP="00A6313B">
      <w:pPr>
        <w:pStyle w:val="NoSpacing"/>
        <w:jc w:val="both"/>
        <w:rPr>
          <w:sz w:val="24"/>
          <w:szCs w:val="24"/>
        </w:rPr>
      </w:pPr>
      <w:r w:rsidRPr="00560637">
        <w:rPr>
          <w:sz w:val="24"/>
          <w:szCs w:val="24"/>
        </w:rPr>
        <w:t xml:space="preserve">The eighteenth century French “Physiocrats” (or </w:t>
      </w:r>
      <w:r w:rsidRPr="00560637">
        <w:rPr>
          <w:i/>
          <w:sz w:val="24"/>
          <w:szCs w:val="24"/>
        </w:rPr>
        <w:t>économistes</w:t>
      </w:r>
      <w:r w:rsidRPr="00560637">
        <w:rPr>
          <w:sz w:val="24"/>
          <w:szCs w:val="24"/>
        </w:rPr>
        <w:t>)</w:t>
      </w:r>
      <w:r w:rsidR="00FE7D32">
        <w:rPr>
          <w:sz w:val="24"/>
          <w:szCs w:val="24"/>
        </w:rPr>
        <w:t>,</w:t>
      </w:r>
      <w:r w:rsidRPr="00560637">
        <w:rPr>
          <w:sz w:val="24"/>
          <w:szCs w:val="24"/>
        </w:rPr>
        <w:t xml:space="preserve"> and Adam Smith in </w:t>
      </w:r>
      <w:r w:rsidRPr="00560637">
        <w:rPr>
          <w:i/>
          <w:sz w:val="24"/>
          <w:szCs w:val="24"/>
        </w:rPr>
        <w:t>The Wealth of Nations</w:t>
      </w:r>
      <w:r w:rsidRPr="00560637">
        <w:rPr>
          <w:sz w:val="24"/>
          <w:szCs w:val="24"/>
        </w:rPr>
        <w:t xml:space="preserve"> (1776)</w:t>
      </w:r>
      <w:r w:rsidR="00FE7D32">
        <w:rPr>
          <w:sz w:val="24"/>
          <w:szCs w:val="24"/>
        </w:rPr>
        <w:t>,</w:t>
      </w:r>
      <w:r w:rsidRPr="00560637">
        <w:rPr>
          <w:sz w:val="24"/>
          <w:szCs w:val="24"/>
        </w:rPr>
        <w:t xml:space="preserve"> understood this well. </w:t>
      </w:r>
      <w:r w:rsidR="00FE7D32">
        <w:rPr>
          <w:sz w:val="24"/>
          <w:szCs w:val="24"/>
        </w:rPr>
        <w:t>Smith</w:t>
      </w:r>
      <w:r w:rsidRPr="00560637">
        <w:rPr>
          <w:sz w:val="24"/>
          <w:szCs w:val="24"/>
        </w:rPr>
        <w:t xml:space="preserve"> wrote:</w:t>
      </w:r>
    </w:p>
    <w:p w:rsidR="00AC51C3" w:rsidRDefault="00560637" w:rsidP="00AC51C3">
      <w:pPr>
        <w:pStyle w:val="NoSpacing"/>
        <w:ind w:left="426"/>
        <w:jc w:val="both"/>
        <w:rPr>
          <w:rFonts w:ascii="Times New Roman" w:hAnsi="Times New Roman" w:cs="Times New Roman"/>
          <w:sz w:val="24"/>
          <w:szCs w:val="24"/>
        </w:rPr>
      </w:pPr>
      <w:r w:rsidRPr="00560637">
        <w:rPr>
          <w:rFonts w:ascii="Times New Roman" w:hAnsi="Times New Roman" w:cs="Times New Roman"/>
          <w:b/>
          <w:sz w:val="24"/>
          <w:szCs w:val="24"/>
        </w:rPr>
        <w:t>In all cases a direct tax upon the wages of labour must, in the long-run, occasion both a greater reduction in the rent of land</w:t>
      </w:r>
      <w:r w:rsidRPr="00560637">
        <w:rPr>
          <w:rFonts w:ascii="Times New Roman" w:hAnsi="Times New Roman" w:cs="Times New Roman"/>
          <w:sz w:val="24"/>
          <w:szCs w:val="24"/>
        </w:rPr>
        <w:t xml:space="preserve">, and a greater rise in the price of manufactured goods, than would have followed from the proper assessment of a sum equal to the produce of the tax, partly upon the rent of land, and partly upon consumable commodities". </w:t>
      </w:r>
    </w:p>
    <w:p w:rsidR="00A6313B" w:rsidRDefault="00A6313B" w:rsidP="00A6313B">
      <w:pPr>
        <w:pStyle w:val="NoSpacing"/>
        <w:jc w:val="both"/>
        <w:rPr>
          <w:rFonts w:ascii="Times New Roman" w:hAnsi="Times New Roman" w:cs="Times New Roman"/>
          <w:sz w:val="24"/>
          <w:szCs w:val="24"/>
        </w:rPr>
      </w:pPr>
    </w:p>
    <w:p w:rsidR="00560637" w:rsidRDefault="00560637" w:rsidP="00A6313B">
      <w:pPr>
        <w:pStyle w:val="NoSpacing"/>
        <w:jc w:val="both"/>
        <w:rPr>
          <w:rFonts w:ascii="Times New Roman" w:hAnsi="Times New Roman" w:cs="Times New Roman"/>
          <w:sz w:val="24"/>
          <w:szCs w:val="24"/>
        </w:rPr>
      </w:pPr>
      <w:r w:rsidRPr="00560637">
        <w:rPr>
          <w:rFonts w:ascii="Times New Roman" w:hAnsi="Times New Roman" w:cs="Times New Roman"/>
          <w:sz w:val="24"/>
          <w:szCs w:val="24"/>
        </w:rPr>
        <w:t>He describes such ta</w:t>
      </w:r>
      <w:r>
        <w:rPr>
          <w:rFonts w:ascii="Times New Roman" w:hAnsi="Times New Roman" w:cs="Times New Roman"/>
          <w:sz w:val="24"/>
          <w:szCs w:val="24"/>
        </w:rPr>
        <w:t>xes as "Absurd and destructive"</w:t>
      </w:r>
      <w:r w:rsidRPr="00560637">
        <w:rPr>
          <w:rFonts w:ascii="Times New Roman" w:hAnsi="Times New Roman" w:cs="Times New Roman"/>
          <w:sz w:val="24"/>
          <w:szCs w:val="24"/>
        </w:rPr>
        <w:t xml:space="preserve"> [p.394]</w:t>
      </w:r>
      <w:r w:rsidR="00AC51C3">
        <w:rPr>
          <w:rFonts w:ascii="Times New Roman" w:hAnsi="Times New Roman" w:cs="Times New Roman"/>
          <w:sz w:val="24"/>
          <w:szCs w:val="24"/>
        </w:rPr>
        <w:t xml:space="preserve"> and urged that even landlords (“who love to reap where they have nor sown”) should realise that their own best interests lay in the abolition of “fines” (taxes) on production in favour of rents</w:t>
      </w:r>
      <w:r w:rsidR="00FE7D32">
        <w:rPr>
          <w:rFonts w:ascii="Times New Roman" w:hAnsi="Times New Roman" w:cs="Times New Roman"/>
          <w:sz w:val="24"/>
          <w:szCs w:val="24"/>
        </w:rPr>
        <w:t xml:space="preserve"> as the main source of state finance</w:t>
      </w:r>
      <w:r w:rsidR="00AC51C3">
        <w:rPr>
          <w:rFonts w:ascii="Times New Roman" w:hAnsi="Times New Roman" w:cs="Times New Roman"/>
          <w:sz w:val="24"/>
          <w:szCs w:val="24"/>
        </w:rPr>
        <w:t xml:space="preserve">. That was the way to maximise the incentive to work and invest and so increase the size of the national product, </w:t>
      </w:r>
      <w:r w:rsidR="003C4850">
        <w:rPr>
          <w:rFonts w:ascii="Times New Roman" w:hAnsi="Times New Roman" w:cs="Times New Roman"/>
          <w:sz w:val="24"/>
          <w:szCs w:val="24"/>
        </w:rPr>
        <w:t>hence the size of the national market.</w:t>
      </w:r>
      <w:r w:rsidR="00AC51C3">
        <w:rPr>
          <w:rFonts w:ascii="Times New Roman" w:hAnsi="Times New Roman" w:cs="Times New Roman"/>
          <w:sz w:val="24"/>
          <w:szCs w:val="24"/>
        </w:rPr>
        <w:t xml:space="preserve"> </w:t>
      </w:r>
    </w:p>
    <w:p w:rsidR="004A37FB" w:rsidRDefault="004A37FB" w:rsidP="00A6313B">
      <w:pPr>
        <w:pStyle w:val="NoSpacing"/>
        <w:jc w:val="both"/>
        <w:rPr>
          <w:rFonts w:ascii="Times New Roman" w:hAnsi="Times New Roman" w:cs="Times New Roman"/>
          <w:sz w:val="24"/>
          <w:szCs w:val="24"/>
        </w:rPr>
      </w:pPr>
    </w:p>
    <w:p w:rsidR="006D5525" w:rsidRDefault="006D5525" w:rsidP="00A6313B">
      <w:pPr>
        <w:pStyle w:val="NoSpacing"/>
        <w:jc w:val="both"/>
        <w:rPr>
          <w:rFonts w:ascii="Times New Roman" w:hAnsi="Times New Roman" w:cs="Times New Roman"/>
          <w:sz w:val="24"/>
          <w:szCs w:val="24"/>
        </w:rPr>
      </w:pPr>
      <w:r>
        <w:rPr>
          <w:rFonts w:ascii="Times New Roman" w:hAnsi="Times New Roman" w:cs="Times New Roman"/>
          <w:sz w:val="24"/>
          <w:szCs w:val="24"/>
        </w:rPr>
        <w:t>Below, we shall explore further the implications of the “absurd and destructive” burdens of taxes on earned incomes</w:t>
      </w:r>
      <w:r w:rsidR="004438E2">
        <w:rPr>
          <w:rFonts w:ascii="Times New Roman" w:hAnsi="Times New Roman" w:cs="Times New Roman"/>
          <w:sz w:val="24"/>
          <w:szCs w:val="24"/>
        </w:rPr>
        <w:t>. Meanwhile,</w:t>
      </w:r>
      <w:r>
        <w:rPr>
          <w:rFonts w:ascii="Times New Roman" w:hAnsi="Times New Roman" w:cs="Times New Roman"/>
          <w:sz w:val="24"/>
          <w:szCs w:val="24"/>
        </w:rPr>
        <w:t xml:space="preserve"> we should </w:t>
      </w:r>
      <w:r w:rsidR="004438E2">
        <w:rPr>
          <w:rFonts w:ascii="Times New Roman" w:hAnsi="Times New Roman" w:cs="Times New Roman"/>
          <w:sz w:val="24"/>
          <w:szCs w:val="24"/>
        </w:rPr>
        <w:t>stress</w:t>
      </w:r>
      <w:r>
        <w:rPr>
          <w:rFonts w:ascii="Times New Roman" w:hAnsi="Times New Roman" w:cs="Times New Roman"/>
          <w:sz w:val="24"/>
          <w:szCs w:val="24"/>
        </w:rPr>
        <w:t xml:space="preserve"> </w:t>
      </w:r>
      <w:r w:rsidR="004438E2">
        <w:rPr>
          <w:rFonts w:ascii="Times New Roman" w:hAnsi="Times New Roman" w:cs="Times New Roman"/>
          <w:sz w:val="24"/>
          <w:szCs w:val="24"/>
        </w:rPr>
        <w:t xml:space="preserve">an </w:t>
      </w:r>
      <w:r>
        <w:rPr>
          <w:rFonts w:ascii="Times New Roman" w:hAnsi="Times New Roman" w:cs="Times New Roman"/>
          <w:sz w:val="24"/>
          <w:szCs w:val="24"/>
        </w:rPr>
        <w:t>important implication</w:t>
      </w:r>
      <w:r w:rsidR="004438E2">
        <w:rPr>
          <w:rFonts w:ascii="Times New Roman" w:hAnsi="Times New Roman" w:cs="Times New Roman"/>
          <w:sz w:val="24"/>
          <w:szCs w:val="24"/>
        </w:rPr>
        <w:t>: W</w:t>
      </w:r>
      <w:r>
        <w:rPr>
          <w:rFonts w:ascii="Times New Roman" w:hAnsi="Times New Roman" w:cs="Times New Roman"/>
          <w:sz w:val="24"/>
          <w:szCs w:val="24"/>
        </w:rPr>
        <w:t xml:space="preserve">hatever the size of rents that we may identify today </w:t>
      </w:r>
      <w:r w:rsidR="004438E2">
        <w:rPr>
          <w:rFonts w:ascii="Times New Roman" w:hAnsi="Times New Roman" w:cs="Times New Roman"/>
          <w:sz w:val="24"/>
          <w:szCs w:val="24"/>
        </w:rPr>
        <w:t xml:space="preserve">after </w:t>
      </w:r>
      <w:r>
        <w:rPr>
          <w:rFonts w:ascii="Times New Roman" w:hAnsi="Times New Roman" w:cs="Times New Roman"/>
          <w:sz w:val="24"/>
          <w:szCs w:val="24"/>
        </w:rPr>
        <w:t xml:space="preserve">they have been </w:t>
      </w:r>
      <w:r w:rsidR="004438E2">
        <w:rPr>
          <w:rFonts w:ascii="Times New Roman" w:hAnsi="Times New Roman" w:cs="Times New Roman"/>
          <w:sz w:val="24"/>
          <w:szCs w:val="24"/>
        </w:rPr>
        <w:t xml:space="preserve">fully and </w:t>
      </w:r>
      <w:r>
        <w:rPr>
          <w:rFonts w:ascii="Times New Roman" w:hAnsi="Times New Roman" w:cs="Times New Roman"/>
          <w:sz w:val="24"/>
          <w:szCs w:val="24"/>
        </w:rPr>
        <w:t xml:space="preserve">properly </w:t>
      </w:r>
      <w:r w:rsidR="004438E2">
        <w:rPr>
          <w:rFonts w:ascii="Times New Roman" w:hAnsi="Times New Roman" w:cs="Times New Roman"/>
          <w:sz w:val="24"/>
          <w:szCs w:val="24"/>
        </w:rPr>
        <w:t xml:space="preserve">revealed </w:t>
      </w:r>
      <w:r>
        <w:rPr>
          <w:rFonts w:ascii="Times New Roman" w:hAnsi="Times New Roman" w:cs="Times New Roman"/>
          <w:sz w:val="24"/>
          <w:szCs w:val="24"/>
        </w:rPr>
        <w:t xml:space="preserve">in the hidden recesses of national, corporate and household accounting, these </w:t>
      </w:r>
      <w:r w:rsidR="004438E2">
        <w:rPr>
          <w:rFonts w:ascii="Times New Roman" w:hAnsi="Times New Roman" w:cs="Times New Roman"/>
          <w:sz w:val="24"/>
          <w:szCs w:val="24"/>
        </w:rPr>
        <w:t xml:space="preserve">rents </w:t>
      </w:r>
      <w:r>
        <w:rPr>
          <w:rFonts w:ascii="Times New Roman" w:hAnsi="Times New Roman" w:cs="Times New Roman"/>
          <w:sz w:val="24"/>
          <w:szCs w:val="24"/>
        </w:rPr>
        <w:t>would be much greater in the absence of the distortions that our current tax system imposes on the economy.</w:t>
      </w:r>
    </w:p>
    <w:p w:rsidR="006D5525" w:rsidRDefault="006D5525" w:rsidP="00A6313B">
      <w:pPr>
        <w:pStyle w:val="NoSpacing"/>
        <w:jc w:val="both"/>
        <w:rPr>
          <w:rFonts w:ascii="Times New Roman" w:hAnsi="Times New Roman" w:cs="Times New Roman"/>
          <w:sz w:val="24"/>
          <w:szCs w:val="24"/>
        </w:rPr>
      </w:pPr>
    </w:p>
    <w:p w:rsidR="004A37FB" w:rsidRDefault="004438E2" w:rsidP="00A63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 </w:t>
      </w:r>
      <w:r w:rsidR="006D5525">
        <w:rPr>
          <w:rFonts w:ascii="Times New Roman" w:hAnsi="Times New Roman" w:cs="Times New Roman"/>
          <w:sz w:val="24"/>
          <w:szCs w:val="24"/>
        </w:rPr>
        <w:t xml:space="preserve">economy freed of these shackles would be one in which incomes and economic activity would be greater, </w:t>
      </w:r>
      <w:r>
        <w:rPr>
          <w:rFonts w:ascii="Times New Roman" w:hAnsi="Times New Roman" w:cs="Times New Roman"/>
          <w:sz w:val="24"/>
          <w:szCs w:val="24"/>
        </w:rPr>
        <w:t xml:space="preserve">and this means a </w:t>
      </w:r>
      <w:r w:rsidR="006D5525">
        <w:rPr>
          <w:rFonts w:ascii="Times New Roman" w:hAnsi="Times New Roman" w:cs="Times New Roman"/>
          <w:sz w:val="24"/>
          <w:szCs w:val="24"/>
        </w:rPr>
        <w:t xml:space="preserve">greater demand for land for living and working. </w:t>
      </w:r>
      <w:r>
        <w:rPr>
          <w:rFonts w:ascii="Times New Roman" w:hAnsi="Times New Roman" w:cs="Times New Roman"/>
          <w:sz w:val="24"/>
          <w:szCs w:val="24"/>
        </w:rPr>
        <w:t>With i</w:t>
      </w:r>
      <w:r w:rsidR="006D5525">
        <w:rPr>
          <w:rFonts w:ascii="Times New Roman" w:hAnsi="Times New Roman" w:cs="Times New Roman"/>
          <w:sz w:val="24"/>
          <w:szCs w:val="24"/>
        </w:rPr>
        <w:t xml:space="preserve">ncreased demand pressing against fixed supply, </w:t>
      </w:r>
      <w:r w:rsidR="00123B30">
        <w:rPr>
          <w:rFonts w:ascii="Times New Roman" w:hAnsi="Times New Roman" w:cs="Times New Roman"/>
          <w:sz w:val="24"/>
          <w:szCs w:val="24"/>
        </w:rPr>
        <w:t xml:space="preserve">rents and the price of land would be greater than otherwise. This </w:t>
      </w:r>
      <w:r>
        <w:rPr>
          <w:rFonts w:ascii="Times New Roman" w:hAnsi="Times New Roman" w:cs="Times New Roman"/>
          <w:sz w:val="24"/>
          <w:szCs w:val="24"/>
        </w:rPr>
        <w:t xml:space="preserve">increases the </w:t>
      </w:r>
      <w:r w:rsidR="00123B30">
        <w:rPr>
          <w:rFonts w:ascii="Times New Roman" w:hAnsi="Times New Roman" w:cs="Times New Roman"/>
          <w:sz w:val="24"/>
          <w:szCs w:val="24"/>
        </w:rPr>
        <w:t>scope for greater public revenues</w:t>
      </w:r>
      <w:r>
        <w:rPr>
          <w:rFonts w:ascii="Times New Roman" w:hAnsi="Times New Roman" w:cs="Times New Roman"/>
          <w:sz w:val="24"/>
          <w:szCs w:val="24"/>
        </w:rPr>
        <w:t>,</w:t>
      </w:r>
      <w:r w:rsidR="00123B30">
        <w:rPr>
          <w:rFonts w:ascii="Times New Roman" w:hAnsi="Times New Roman" w:cs="Times New Roman"/>
          <w:sz w:val="24"/>
          <w:szCs w:val="24"/>
        </w:rPr>
        <w:t xml:space="preserve"> </w:t>
      </w:r>
      <w:r>
        <w:rPr>
          <w:rFonts w:ascii="Times New Roman" w:hAnsi="Times New Roman" w:cs="Times New Roman"/>
          <w:sz w:val="24"/>
          <w:szCs w:val="24"/>
        </w:rPr>
        <w:t xml:space="preserve">and even </w:t>
      </w:r>
      <w:r w:rsidR="00123B30">
        <w:rPr>
          <w:rFonts w:ascii="Times New Roman" w:hAnsi="Times New Roman" w:cs="Times New Roman"/>
          <w:sz w:val="24"/>
          <w:szCs w:val="24"/>
        </w:rPr>
        <w:t>leav</w:t>
      </w:r>
      <w:r>
        <w:rPr>
          <w:rFonts w:ascii="Times New Roman" w:hAnsi="Times New Roman" w:cs="Times New Roman"/>
          <w:sz w:val="24"/>
          <w:szCs w:val="24"/>
        </w:rPr>
        <w:t>es</w:t>
      </w:r>
      <w:r w:rsidR="00123B30">
        <w:rPr>
          <w:rFonts w:ascii="Times New Roman" w:hAnsi="Times New Roman" w:cs="Times New Roman"/>
          <w:sz w:val="24"/>
          <w:szCs w:val="24"/>
        </w:rPr>
        <w:t xml:space="preserve"> landowners with some inc</w:t>
      </w:r>
      <w:r>
        <w:rPr>
          <w:rFonts w:ascii="Times New Roman" w:hAnsi="Times New Roman" w:cs="Times New Roman"/>
          <w:sz w:val="24"/>
          <w:szCs w:val="24"/>
        </w:rPr>
        <w:t>reased income from higher rents</w:t>
      </w:r>
      <w:r w:rsidR="00123B30">
        <w:rPr>
          <w:rFonts w:ascii="Times New Roman" w:hAnsi="Times New Roman" w:cs="Times New Roman"/>
          <w:sz w:val="24"/>
          <w:szCs w:val="24"/>
        </w:rPr>
        <w:t xml:space="preserve"> if all </w:t>
      </w:r>
      <w:r>
        <w:rPr>
          <w:rFonts w:ascii="Times New Roman" w:hAnsi="Times New Roman" w:cs="Times New Roman"/>
          <w:sz w:val="24"/>
          <w:szCs w:val="24"/>
        </w:rPr>
        <w:t>are</w:t>
      </w:r>
      <w:r w:rsidR="00123B30">
        <w:rPr>
          <w:rFonts w:ascii="Times New Roman" w:hAnsi="Times New Roman" w:cs="Times New Roman"/>
          <w:sz w:val="24"/>
          <w:szCs w:val="24"/>
        </w:rPr>
        <w:t xml:space="preserve"> not collected. And landowners, in their other existences as consumers, workers or capitalists would gain with the rest of us. Smith lamented that landowners are often too intellectually indolent to recognise where their own best interests lie.</w:t>
      </w:r>
    </w:p>
    <w:p w:rsidR="00123B30" w:rsidRDefault="00123B30" w:rsidP="00A6313B">
      <w:pPr>
        <w:pStyle w:val="NoSpacing"/>
        <w:jc w:val="both"/>
        <w:rPr>
          <w:rFonts w:ascii="Times New Roman" w:hAnsi="Times New Roman" w:cs="Times New Roman"/>
          <w:sz w:val="24"/>
          <w:szCs w:val="24"/>
        </w:rPr>
      </w:pPr>
    </w:p>
    <w:p w:rsidR="003C4850" w:rsidRDefault="00AC51C3" w:rsidP="00A63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In fact, the wealth of nations was both defined and stimulated by the size of the market and the whole point of Smith’s magnum opus was to </w:t>
      </w:r>
      <w:r w:rsidR="003C4850">
        <w:rPr>
          <w:rFonts w:ascii="Times New Roman" w:hAnsi="Times New Roman" w:cs="Times New Roman"/>
          <w:sz w:val="24"/>
          <w:szCs w:val="24"/>
        </w:rPr>
        <w:t xml:space="preserve">condemn ‘mercantilism’, or protection for producers at the expense of consumers. Not laissez faire, but the promotion of competition and mobility was </w:t>
      </w:r>
      <w:r w:rsidR="00A6313B">
        <w:rPr>
          <w:rFonts w:ascii="Times New Roman" w:hAnsi="Times New Roman" w:cs="Times New Roman"/>
          <w:sz w:val="24"/>
          <w:szCs w:val="24"/>
        </w:rPr>
        <w:t xml:space="preserve">Smith’s </w:t>
      </w:r>
      <w:r w:rsidR="003C4850">
        <w:rPr>
          <w:rFonts w:ascii="Times New Roman" w:hAnsi="Times New Roman" w:cs="Times New Roman"/>
          <w:sz w:val="24"/>
          <w:szCs w:val="24"/>
        </w:rPr>
        <w:t>fundamental message. Competitive prices and factor mobility promoted efficient allocation of resources and increased purchasing power.</w:t>
      </w:r>
    </w:p>
    <w:p w:rsidR="003C4850" w:rsidRDefault="003C4850" w:rsidP="00A6313B">
      <w:pPr>
        <w:pStyle w:val="NoSpacing"/>
        <w:jc w:val="both"/>
        <w:rPr>
          <w:rFonts w:ascii="Times New Roman" w:hAnsi="Times New Roman" w:cs="Times New Roman"/>
          <w:sz w:val="24"/>
          <w:szCs w:val="24"/>
        </w:rPr>
      </w:pPr>
    </w:p>
    <w:p w:rsidR="003C4850" w:rsidRDefault="003C4850" w:rsidP="00A63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But the classical economists were not only </w:t>
      </w:r>
      <w:r w:rsidR="00123538">
        <w:rPr>
          <w:rFonts w:ascii="Times New Roman" w:hAnsi="Times New Roman" w:cs="Times New Roman"/>
          <w:sz w:val="24"/>
          <w:szCs w:val="24"/>
        </w:rPr>
        <w:t xml:space="preserve">concerned with the allocation of scarce resources – the economics of scarcity. They equally intuited the economics of opportunity – the opportunity to reorganise productive resources through </w:t>
      </w:r>
      <w:r w:rsidR="00A6313B">
        <w:rPr>
          <w:rFonts w:ascii="Times New Roman" w:hAnsi="Times New Roman" w:cs="Times New Roman"/>
          <w:sz w:val="24"/>
          <w:szCs w:val="24"/>
        </w:rPr>
        <w:t xml:space="preserve">increased opportunities to </w:t>
      </w:r>
      <w:r w:rsidR="00123538">
        <w:rPr>
          <w:rFonts w:ascii="Times New Roman" w:hAnsi="Times New Roman" w:cs="Times New Roman"/>
          <w:sz w:val="24"/>
          <w:szCs w:val="24"/>
        </w:rPr>
        <w:t>specialis</w:t>
      </w:r>
      <w:r w:rsidR="00A6313B">
        <w:rPr>
          <w:rFonts w:ascii="Times New Roman" w:hAnsi="Times New Roman" w:cs="Times New Roman"/>
          <w:sz w:val="24"/>
          <w:szCs w:val="24"/>
        </w:rPr>
        <w:t xml:space="preserve">e and increase </w:t>
      </w:r>
      <w:r w:rsidR="00123538">
        <w:rPr>
          <w:rFonts w:ascii="Times New Roman" w:hAnsi="Times New Roman" w:cs="Times New Roman"/>
          <w:sz w:val="24"/>
          <w:szCs w:val="24"/>
        </w:rPr>
        <w:t>the division of labour</w:t>
      </w:r>
      <w:r w:rsidR="00A6313B">
        <w:rPr>
          <w:rFonts w:ascii="Times New Roman" w:hAnsi="Times New Roman" w:cs="Times New Roman"/>
          <w:sz w:val="24"/>
          <w:szCs w:val="24"/>
        </w:rPr>
        <w:t xml:space="preserve"> and stimulate technical </w:t>
      </w:r>
      <w:r w:rsidR="00123538">
        <w:rPr>
          <w:rFonts w:ascii="Times New Roman" w:hAnsi="Times New Roman" w:cs="Times New Roman"/>
          <w:sz w:val="24"/>
          <w:szCs w:val="24"/>
        </w:rPr>
        <w:t>innovation</w:t>
      </w:r>
      <w:r w:rsidR="00A6313B">
        <w:rPr>
          <w:rFonts w:ascii="Times New Roman" w:hAnsi="Times New Roman" w:cs="Times New Roman"/>
          <w:sz w:val="24"/>
          <w:szCs w:val="24"/>
        </w:rPr>
        <w:t>s</w:t>
      </w:r>
      <w:r w:rsidR="00123538">
        <w:rPr>
          <w:rFonts w:ascii="Times New Roman" w:hAnsi="Times New Roman" w:cs="Times New Roman"/>
          <w:sz w:val="24"/>
          <w:szCs w:val="24"/>
        </w:rPr>
        <w:t xml:space="preserve">. </w:t>
      </w:r>
      <w:r w:rsidR="007A369D">
        <w:rPr>
          <w:rFonts w:ascii="Times New Roman" w:hAnsi="Times New Roman" w:cs="Times New Roman"/>
          <w:sz w:val="24"/>
          <w:szCs w:val="24"/>
        </w:rPr>
        <w:t xml:space="preserve">At the very beginning of </w:t>
      </w:r>
      <w:r w:rsidR="00123538" w:rsidRPr="00123538">
        <w:rPr>
          <w:rFonts w:ascii="Times New Roman" w:hAnsi="Times New Roman" w:cs="Times New Roman"/>
          <w:i/>
          <w:sz w:val="24"/>
          <w:szCs w:val="24"/>
        </w:rPr>
        <w:t>The Wealth of Nations</w:t>
      </w:r>
      <w:r w:rsidR="007A369D">
        <w:rPr>
          <w:rFonts w:ascii="Times New Roman" w:hAnsi="Times New Roman" w:cs="Times New Roman"/>
          <w:sz w:val="24"/>
          <w:szCs w:val="24"/>
        </w:rPr>
        <w:t xml:space="preserve"> </w:t>
      </w:r>
      <w:r w:rsidR="0089288F">
        <w:rPr>
          <w:rFonts w:ascii="Times New Roman" w:hAnsi="Times New Roman" w:cs="Times New Roman"/>
          <w:sz w:val="24"/>
          <w:szCs w:val="24"/>
        </w:rPr>
        <w:t xml:space="preserve">(1776), </w:t>
      </w:r>
      <w:r w:rsidR="007A369D">
        <w:rPr>
          <w:rFonts w:ascii="Times New Roman" w:hAnsi="Times New Roman" w:cs="Times New Roman"/>
          <w:sz w:val="24"/>
          <w:szCs w:val="24"/>
        </w:rPr>
        <w:t xml:space="preserve">Smith showed the </w:t>
      </w:r>
      <w:r w:rsidR="0089288F">
        <w:rPr>
          <w:rFonts w:ascii="Times New Roman" w:hAnsi="Times New Roman" w:cs="Times New Roman"/>
          <w:sz w:val="24"/>
          <w:szCs w:val="24"/>
        </w:rPr>
        <w:t>very great</w:t>
      </w:r>
      <w:r w:rsidR="007A369D">
        <w:rPr>
          <w:rFonts w:ascii="Times New Roman" w:hAnsi="Times New Roman" w:cs="Times New Roman"/>
          <w:sz w:val="24"/>
          <w:szCs w:val="24"/>
        </w:rPr>
        <w:t xml:space="preserve"> productive power of specialisation (through his </w:t>
      </w:r>
      <w:r w:rsidR="0089288F">
        <w:rPr>
          <w:rFonts w:ascii="Times New Roman" w:hAnsi="Times New Roman" w:cs="Times New Roman"/>
          <w:sz w:val="24"/>
          <w:szCs w:val="24"/>
        </w:rPr>
        <w:t>example of work in a pin factory</w:t>
      </w:r>
      <w:r w:rsidR="007A369D">
        <w:rPr>
          <w:rFonts w:ascii="Times New Roman" w:hAnsi="Times New Roman" w:cs="Times New Roman"/>
          <w:sz w:val="24"/>
          <w:szCs w:val="24"/>
        </w:rPr>
        <w:t>)</w:t>
      </w:r>
      <w:r w:rsidR="0089288F">
        <w:rPr>
          <w:rFonts w:ascii="Times New Roman" w:hAnsi="Times New Roman" w:cs="Times New Roman"/>
          <w:sz w:val="24"/>
          <w:szCs w:val="24"/>
        </w:rPr>
        <w:t>,</w:t>
      </w:r>
      <w:r w:rsidR="007A369D">
        <w:rPr>
          <w:rFonts w:ascii="Times New Roman" w:hAnsi="Times New Roman" w:cs="Times New Roman"/>
          <w:sz w:val="24"/>
          <w:szCs w:val="24"/>
        </w:rPr>
        <w:t xml:space="preserve"> but also coined the famous aphorism that </w:t>
      </w:r>
      <w:r w:rsidR="00123538">
        <w:rPr>
          <w:rFonts w:ascii="Times New Roman" w:hAnsi="Times New Roman" w:cs="Times New Roman"/>
          <w:sz w:val="24"/>
          <w:szCs w:val="24"/>
        </w:rPr>
        <w:t xml:space="preserve">“the division of labour </w:t>
      </w:r>
      <w:r w:rsidR="00123538" w:rsidRPr="00A6313B">
        <w:rPr>
          <w:rFonts w:ascii="Times New Roman" w:hAnsi="Times New Roman" w:cs="Times New Roman"/>
          <w:b/>
          <w:i/>
          <w:sz w:val="24"/>
          <w:szCs w:val="24"/>
        </w:rPr>
        <w:t>is limited by the extent of the market</w:t>
      </w:r>
      <w:r w:rsidR="00123538">
        <w:rPr>
          <w:rFonts w:ascii="Times New Roman" w:hAnsi="Times New Roman" w:cs="Times New Roman"/>
          <w:sz w:val="24"/>
          <w:szCs w:val="24"/>
        </w:rPr>
        <w:t xml:space="preserve">.” </w:t>
      </w:r>
    </w:p>
    <w:p w:rsidR="007A369D" w:rsidRDefault="007A369D" w:rsidP="00A6313B">
      <w:pPr>
        <w:pStyle w:val="NoSpacing"/>
        <w:jc w:val="both"/>
        <w:rPr>
          <w:rFonts w:ascii="Times New Roman" w:hAnsi="Times New Roman" w:cs="Times New Roman"/>
          <w:sz w:val="24"/>
          <w:szCs w:val="24"/>
        </w:rPr>
      </w:pPr>
    </w:p>
    <w:p w:rsidR="007A369D" w:rsidRDefault="007A369D" w:rsidP="00A6313B">
      <w:pPr>
        <w:pStyle w:val="NoSpacing"/>
        <w:jc w:val="both"/>
        <w:rPr>
          <w:rFonts w:ascii="Times New Roman" w:hAnsi="Times New Roman" w:cs="Times New Roman"/>
          <w:sz w:val="24"/>
          <w:szCs w:val="24"/>
        </w:rPr>
      </w:pPr>
      <w:r>
        <w:rPr>
          <w:rFonts w:ascii="Times New Roman" w:hAnsi="Times New Roman" w:cs="Times New Roman"/>
          <w:sz w:val="24"/>
          <w:szCs w:val="24"/>
        </w:rPr>
        <w:t>The deadweight losses from taxes on work, enterprise and consumer goods (including imports) were consequentially immense because they restricted the size of the market at home and abroad.</w:t>
      </w:r>
    </w:p>
    <w:p w:rsidR="007A369D" w:rsidRDefault="007A369D" w:rsidP="00A6313B">
      <w:pPr>
        <w:pStyle w:val="NoSpacing"/>
        <w:jc w:val="both"/>
        <w:rPr>
          <w:rFonts w:ascii="Times New Roman" w:hAnsi="Times New Roman" w:cs="Times New Roman"/>
          <w:sz w:val="24"/>
          <w:szCs w:val="24"/>
        </w:rPr>
      </w:pPr>
    </w:p>
    <w:p w:rsidR="002C4998" w:rsidRPr="0089288F" w:rsidRDefault="007A369D" w:rsidP="00A6313B">
      <w:pPr>
        <w:pStyle w:val="NoSpacing"/>
        <w:jc w:val="both"/>
        <w:rPr>
          <w:rFonts w:ascii="Times New Roman" w:hAnsi="Times New Roman" w:cs="Times New Roman"/>
          <w:b/>
          <w:sz w:val="24"/>
          <w:szCs w:val="24"/>
        </w:rPr>
      </w:pPr>
      <w:r>
        <w:rPr>
          <w:rFonts w:ascii="Times New Roman" w:hAnsi="Times New Roman" w:cs="Times New Roman"/>
          <w:sz w:val="24"/>
          <w:szCs w:val="24"/>
        </w:rPr>
        <w:t xml:space="preserve">Ricardo reinforced Smith’s message in two ways. First, he </w:t>
      </w:r>
      <w:r w:rsidR="00A6313B">
        <w:rPr>
          <w:rFonts w:ascii="Times New Roman" w:hAnsi="Times New Roman" w:cs="Times New Roman"/>
          <w:sz w:val="24"/>
          <w:szCs w:val="24"/>
        </w:rPr>
        <w:t xml:space="preserve">deepened our understanding of the law of rent and why </w:t>
      </w:r>
      <w:r w:rsidR="004A37FB">
        <w:rPr>
          <w:rFonts w:ascii="Times New Roman" w:hAnsi="Times New Roman" w:cs="Times New Roman"/>
          <w:sz w:val="24"/>
          <w:szCs w:val="24"/>
        </w:rPr>
        <w:t xml:space="preserve">rent </w:t>
      </w:r>
      <w:r w:rsidR="00A6313B">
        <w:rPr>
          <w:rFonts w:ascii="Times New Roman" w:hAnsi="Times New Roman" w:cs="Times New Roman"/>
          <w:sz w:val="24"/>
          <w:szCs w:val="24"/>
        </w:rPr>
        <w:t xml:space="preserve">is a pure surplus </w:t>
      </w:r>
      <w:r w:rsidR="004A37FB">
        <w:rPr>
          <w:rFonts w:ascii="Times New Roman" w:hAnsi="Times New Roman" w:cs="Times New Roman"/>
          <w:sz w:val="24"/>
          <w:szCs w:val="24"/>
        </w:rPr>
        <w:t xml:space="preserve">over the cost of production, so </w:t>
      </w:r>
      <w:r w:rsidR="00A6313B">
        <w:rPr>
          <w:rFonts w:ascii="Times New Roman" w:hAnsi="Times New Roman" w:cs="Times New Roman"/>
          <w:sz w:val="24"/>
          <w:szCs w:val="24"/>
        </w:rPr>
        <w:t xml:space="preserve">that </w:t>
      </w:r>
      <w:r w:rsidR="004A37FB">
        <w:rPr>
          <w:rFonts w:ascii="Times New Roman" w:hAnsi="Times New Roman" w:cs="Times New Roman"/>
          <w:sz w:val="24"/>
          <w:szCs w:val="24"/>
        </w:rPr>
        <w:t xml:space="preserve">rent could </w:t>
      </w:r>
      <w:r w:rsidR="00A6313B">
        <w:rPr>
          <w:rFonts w:ascii="Times New Roman" w:hAnsi="Times New Roman" w:cs="Times New Roman"/>
          <w:sz w:val="24"/>
          <w:szCs w:val="24"/>
        </w:rPr>
        <w:t xml:space="preserve">be the prime source of state revenue without </w:t>
      </w:r>
      <w:r w:rsidR="004A37FB">
        <w:rPr>
          <w:rFonts w:ascii="Times New Roman" w:hAnsi="Times New Roman" w:cs="Times New Roman"/>
          <w:sz w:val="24"/>
          <w:szCs w:val="24"/>
        </w:rPr>
        <w:t xml:space="preserve">adverse effects on supply. </w:t>
      </w:r>
      <w:r w:rsidR="00A6313B">
        <w:rPr>
          <w:rFonts w:ascii="Times New Roman" w:hAnsi="Times New Roman" w:cs="Times New Roman"/>
          <w:sz w:val="24"/>
          <w:szCs w:val="24"/>
        </w:rPr>
        <w:t xml:space="preserve">Second, he </w:t>
      </w:r>
      <w:r>
        <w:rPr>
          <w:rFonts w:ascii="Times New Roman" w:hAnsi="Times New Roman" w:cs="Times New Roman"/>
          <w:sz w:val="24"/>
          <w:szCs w:val="24"/>
        </w:rPr>
        <w:t xml:space="preserve">explained that the mutual gains from reciprocal international trade arose not only for countries where there was an </w:t>
      </w:r>
      <w:r w:rsidRPr="00522C57">
        <w:rPr>
          <w:rFonts w:ascii="Times New Roman" w:hAnsi="Times New Roman" w:cs="Times New Roman"/>
          <w:b/>
          <w:i/>
          <w:sz w:val="24"/>
          <w:szCs w:val="24"/>
        </w:rPr>
        <w:t>absolute</w:t>
      </w:r>
      <w:r>
        <w:rPr>
          <w:rFonts w:ascii="Times New Roman" w:hAnsi="Times New Roman" w:cs="Times New Roman"/>
          <w:sz w:val="24"/>
          <w:szCs w:val="24"/>
        </w:rPr>
        <w:t xml:space="preserve"> difference in the productivity and costs of the </w:t>
      </w:r>
      <w:r w:rsidR="00522C57">
        <w:rPr>
          <w:rFonts w:ascii="Times New Roman" w:hAnsi="Times New Roman" w:cs="Times New Roman"/>
          <w:sz w:val="24"/>
          <w:szCs w:val="24"/>
        </w:rPr>
        <w:t xml:space="preserve">goods they could trade. Rather, trade could also, and more extensively, be conducted between countries that had only a </w:t>
      </w:r>
      <w:r w:rsidR="00522C57" w:rsidRPr="00522C57">
        <w:rPr>
          <w:rFonts w:ascii="Times New Roman" w:hAnsi="Times New Roman" w:cs="Times New Roman"/>
          <w:b/>
          <w:i/>
          <w:sz w:val="24"/>
          <w:szCs w:val="24"/>
        </w:rPr>
        <w:t>comparative</w:t>
      </w:r>
      <w:r w:rsidR="00522C57">
        <w:rPr>
          <w:rFonts w:ascii="Times New Roman" w:hAnsi="Times New Roman" w:cs="Times New Roman"/>
          <w:sz w:val="24"/>
          <w:szCs w:val="24"/>
        </w:rPr>
        <w:t xml:space="preserve"> advantage in the goods they </w:t>
      </w:r>
      <w:r w:rsidR="004A37FB">
        <w:rPr>
          <w:rFonts w:ascii="Times New Roman" w:hAnsi="Times New Roman" w:cs="Times New Roman"/>
          <w:sz w:val="24"/>
          <w:szCs w:val="24"/>
        </w:rPr>
        <w:t>traded</w:t>
      </w:r>
      <w:r w:rsidR="00522C57">
        <w:rPr>
          <w:rFonts w:ascii="Times New Roman" w:hAnsi="Times New Roman" w:cs="Times New Roman"/>
          <w:sz w:val="24"/>
          <w:szCs w:val="24"/>
        </w:rPr>
        <w:t xml:space="preserve">. In the process, nations’ markets </w:t>
      </w:r>
      <w:r w:rsidR="004A37FB">
        <w:rPr>
          <w:rFonts w:ascii="Times New Roman" w:hAnsi="Times New Roman" w:cs="Times New Roman"/>
          <w:sz w:val="24"/>
          <w:szCs w:val="24"/>
        </w:rPr>
        <w:t xml:space="preserve">could be more greatly </w:t>
      </w:r>
      <w:r w:rsidR="00522C57">
        <w:rPr>
          <w:rFonts w:ascii="Times New Roman" w:hAnsi="Times New Roman" w:cs="Times New Roman"/>
          <w:sz w:val="24"/>
          <w:szCs w:val="24"/>
        </w:rPr>
        <w:t>extended</w:t>
      </w:r>
      <w:r w:rsidR="004A37FB">
        <w:rPr>
          <w:rFonts w:ascii="Times New Roman" w:hAnsi="Times New Roman" w:cs="Times New Roman"/>
          <w:sz w:val="24"/>
          <w:szCs w:val="24"/>
        </w:rPr>
        <w:t xml:space="preserve"> than even Smith recognised. Thus so too could </w:t>
      </w:r>
      <w:r w:rsidR="00522C57">
        <w:rPr>
          <w:rFonts w:ascii="Times New Roman" w:hAnsi="Times New Roman" w:cs="Times New Roman"/>
          <w:sz w:val="24"/>
          <w:szCs w:val="24"/>
        </w:rPr>
        <w:t xml:space="preserve">specialisation </w:t>
      </w:r>
      <w:r w:rsidR="004A37FB">
        <w:rPr>
          <w:rFonts w:ascii="Times New Roman" w:hAnsi="Times New Roman" w:cs="Times New Roman"/>
          <w:sz w:val="24"/>
          <w:szCs w:val="24"/>
        </w:rPr>
        <w:t>be increased</w:t>
      </w:r>
      <w:r w:rsidR="00522C57">
        <w:rPr>
          <w:rFonts w:ascii="Times New Roman" w:hAnsi="Times New Roman" w:cs="Times New Roman"/>
          <w:sz w:val="24"/>
          <w:szCs w:val="24"/>
        </w:rPr>
        <w:t>, with powerful consequen</w:t>
      </w:r>
      <w:r w:rsidR="004A37FB">
        <w:rPr>
          <w:rFonts w:ascii="Times New Roman" w:hAnsi="Times New Roman" w:cs="Times New Roman"/>
          <w:sz w:val="24"/>
          <w:szCs w:val="24"/>
        </w:rPr>
        <w:t xml:space="preserve">ces for increased </w:t>
      </w:r>
      <w:r w:rsidR="00522C57">
        <w:rPr>
          <w:rFonts w:ascii="Times New Roman" w:hAnsi="Times New Roman" w:cs="Times New Roman"/>
          <w:sz w:val="24"/>
          <w:szCs w:val="24"/>
        </w:rPr>
        <w:t xml:space="preserve">productivity, lower costs, lower prices, </w:t>
      </w:r>
      <w:r w:rsidR="00522C57">
        <w:rPr>
          <w:rFonts w:ascii="Times New Roman" w:hAnsi="Times New Roman" w:cs="Times New Roman"/>
          <w:sz w:val="24"/>
          <w:szCs w:val="24"/>
        </w:rPr>
        <w:lastRenderedPageBreak/>
        <w:t xml:space="preserve">enhanced purchasing power, greater real market size. This in turn </w:t>
      </w:r>
      <w:r w:rsidR="004A37FB">
        <w:rPr>
          <w:rFonts w:ascii="Times New Roman" w:hAnsi="Times New Roman" w:cs="Times New Roman"/>
          <w:sz w:val="24"/>
          <w:szCs w:val="24"/>
        </w:rPr>
        <w:t xml:space="preserve">would </w:t>
      </w:r>
      <w:r w:rsidR="00522C57">
        <w:rPr>
          <w:rFonts w:ascii="Times New Roman" w:hAnsi="Times New Roman" w:cs="Times New Roman"/>
          <w:sz w:val="24"/>
          <w:szCs w:val="24"/>
        </w:rPr>
        <w:t xml:space="preserve">mean greater opportunity and wherewithal to increase specialisation yet again, </w:t>
      </w:r>
      <w:r w:rsidR="00522C57" w:rsidRPr="0089288F">
        <w:rPr>
          <w:rFonts w:ascii="Times New Roman" w:hAnsi="Times New Roman" w:cs="Times New Roman"/>
          <w:b/>
          <w:sz w:val="24"/>
          <w:szCs w:val="24"/>
        </w:rPr>
        <w:t xml:space="preserve">in a self-reinforcing and self-sustaining </w:t>
      </w:r>
      <w:r w:rsidR="00522C57" w:rsidRPr="0089288F">
        <w:rPr>
          <w:rFonts w:ascii="Times New Roman" w:hAnsi="Times New Roman" w:cs="Times New Roman"/>
          <w:b/>
          <w:i/>
          <w:sz w:val="24"/>
          <w:szCs w:val="24"/>
        </w:rPr>
        <w:t>cumulative</w:t>
      </w:r>
      <w:r w:rsidR="00522C57" w:rsidRPr="0089288F">
        <w:rPr>
          <w:rFonts w:ascii="Times New Roman" w:hAnsi="Times New Roman" w:cs="Times New Roman"/>
          <w:b/>
          <w:sz w:val="24"/>
          <w:szCs w:val="24"/>
        </w:rPr>
        <w:t xml:space="preserve"> process. </w:t>
      </w:r>
    </w:p>
    <w:p w:rsidR="002C4998" w:rsidRDefault="002C4998" w:rsidP="00A6313B">
      <w:pPr>
        <w:pStyle w:val="NoSpacing"/>
        <w:jc w:val="both"/>
        <w:rPr>
          <w:rFonts w:ascii="Times New Roman" w:hAnsi="Times New Roman" w:cs="Times New Roman"/>
          <w:sz w:val="24"/>
          <w:szCs w:val="24"/>
        </w:rPr>
      </w:pPr>
    </w:p>
    <w:p w:rsidR="00DD338F" w:rsidRDefault="00522C57" w:rsidP="00A6313B">
      <w:pPr>
        <w:pStyle w:val="NoSpacing"/>
        <w:jc w:val="both"/>
        <w:rPr>
          <w:rFonts w:ascii="Times New Roman" w:hAnsi="Times New Roman" w:cs="Times New Roman"/>
          <w:sz w:val="24"/>
          <w:szCs w:val="24"/>
        </w:rPr>
      </w:pPr>
      <w:r>
        <w:rPr>
          <w:rFonts w:ascii="Times New Roman" w:hAnsi="Times New Roman" w:cs="Times New Roman"/>
          <w:sz w:val="24"/>
          <w:szCs w:val="24"/>
        </w:rPr>
        <w:t>This endogenous process differs fundamentally from the self-exhausting nature of modern neo-classical growth theory which postulate</w:t>
      </w:r>
      <w:r w:rsidR="002C4998">
        <w:rPr>
          <w:rFonts w:ascii="Times New Roman" w:hAnsi="Times New Roman" w:cs="Times New Roman"/>
          <w:sz w:val="24"/>
          <w:szCs w:val="24"/>
        </w:rPr>
        <w:t>s</w:t>
      </w:r>
      <w:r>
        <w:rPr>
          <w:rFonts w:ascii="Times New Roman" w:hAnsi="Times New Roman" w:cs="Times New Roman"/>
          <w:sz w:val="24"/>
          <w:szCs w:val="24"/>
        </w:rPr>
        <w:t xml:space="preserve"> </w:t>
      </w:r>
      <w:r w:rsidR="00693FCD">
        <w:rPr>
          <w:rFonts w:ascii="Times New Roman" w:hAnsi="Times New Roman" w:cs="Times New Roman"/>
          <w:sz w:val="24"/>
          <w:szCs w:val="24"/>
        </w:rPr>
        <w:t xml:space="preserve">diminishing marginal productivity for labour and capital as their supply increases, and </w:t>
      </w:r>
      <w:r w:rsidRPr="002C4998">
        <w:rPr>
          <w:rFonts w:ascii="Times New Roman" w:hAnsi="Times New Roman" w:cs="Times New Roman"/>
          <w:i/>
          <w:sz w:val="24"/>
          <w:szCs w:val="24"/>
        </w:rPr>
        <w:t>constant</w:t>
      </w:r>
      <w:r>
        <w:rPr>
          <w:rFonts w:ascii="Times New Roman" w:hAnsi="Times New Roman" w:cs="Times New Roman"/>
          <w:sz w:val="24"/>
          <w:szCs w:val="24"/>
        </w:rPr>
        <w:t xml:space="preserve"> </w:t>
      </w:r>
      <w:r w:rsidR="002C4998">
        <w:rPr>
          <w:rFonts w:ascii="Times New Roman" w:hAnsi="Times New Roman" w:cs="Times New Roman"/>
          <w:sz w:val="24"/>
          <w:szCs w:val="24"/>
        </w:rPr>
        <w:t xml:space="preserve">rather than increasing </w:t>
      </w:r>
      <w:r>
        <w:rPr>
          <w:rFonts w:ascii="Times New Roman" w:hAnsi="Times New Roman" w:cs="Times New Roman"/>
          <w:sz w:val="24"/>
          <w:szCs w:val="24"/>
        </w:rPr>
        <w:t xml:space="preserve">returns </w:t>
      </w:r>
      <w:r w:rsidRPr="00693FCD">
        <w:rPr>
          <w:rFonts w:ascii="Times New Roman" w:hAnsi="Times New Roman" w:cs="Times New Roman"/>
          <w:i/>
          <w:sz w:val="24"/>
          <w:szCs w:val="24"/>
        </w:rPr>
        <w:t>to scale</w:t>
      </w:r>
      <w:r w:rsidR="00693FCD">
        <w:rPr>
          <w:rFonts w:ascii="Times New Roman" w:hAnsi="Times New Roman" w:cs="Times New Roman"/>
          <w:sz w:val="24"/>
          <w:szCs w:val="24"/>
        </w:rPr>
        <w:t xml:space="preserve"> (that is, </w:t>
      </w:r>
      <w:r w:rsidR="00693FCD" w:rsidRPr="004A37FB">
        <w:rPr>
          <w:rFonts w:ascii="Times New Roman" w:hAnsi="Times New Roman" w:cs="Times New Roman"/>
          <w:i/>
          <w:sz w:val="24"/>
          <w:szCs w:val="24"/>
        </w:rPr>
        <w:t>to the size of the overall market</w:t>
      </w:r>
      <w:r w:rsidR="00693FCD">
        <w:rPr>
          <w:rFonts w:ascii="Times New Roman" w:hAnsi="Times New Roman" w:cs="Times New Roman"/>
          <w:sz w:val="24"/>
          <w:szCs w:val="24"/>
        </w:rPr>
        <w:t xml:space="preserve">). </w:t>
      </w:r>
      <w:r w:rsidR="002C4998">
        <w:rPr>
          <w:rFonts w:ascii="Times New Roman" w:hAnsi="Times New Roman" w:cs="Times New Roman"/>
          <w:sz w:val="24"/>
          <w:szCs w:val="24"/>
        </w:rPr>
        <w:t xml:space="preserve">Thus productivity growth requires technical progress to enhance the productivity of labour and capital that otherwise would be subject to diminishing returns in the face of a fixed supply of land. </w:t>
      </w:r>
    </w:p>
    <w:p w:rsidR="00DD338F" w:rsidRDefault="00DD338F" w:rsidP="00A6313B">
      <w:pPr>
        <w:pStyle w:val="NoSpacing"/>
        <w:jc w:val="both"/>
        <w:rPr>
          <w:rFonts w:ascii="Times New Roman" w:hAnsi="Times New Roman" w:cs="Times New Roman"/>
          <w:sz w:val="24"/>
          <w:szCs w:val="24"/>
        </w:rPr>
      </w:pPr>
    </w:p>
    <w:p w:rsidR="007A369D" w:rsidRDefault="002C4998" w:rsidP="00A63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Though empirically important, this technical progress is unexplained and “exogenous” </w:t>
      </w:r>
      <w:r w:rsidR="004A37FB">
        <w:rPr>
          <w:rFonts w:ascii="Times New Roman" w:hAnsi="Times New Roman" w:cs="Times New Roman"/>
          <w:sz w:val="24"/>
          <w:szCs w:val="24"/>
        </w:rPr>
        <w:t xml:space="preserve">in the neo-classical </w:t>
      </w:r>
      <w:r>
        <w:rPr>
          <w:rFonts w:ascii="Times New Roman" w:hAnsi="Times New Roman" w:cs="Times New Roman"/>
          <w:sz w:val="24"/>
          <w:szCs w:val="24"/>
        </w:rPr>
        <w:t>model</w:t>
      </w:r>
      <w:r w:rsidR="00693FCD">
        <w:rPr>
          <w:rFonts w:ascii="Times New Roman" w:hAnsi="Times New Roman" w:cs="Times New Roman"/>
          <w:sz w:val="24"/>
          <w:szCs w:val="24"/>
        </w:rPr>
        <w:t xml:space="preserve">. To stimulate technical progress at home, </w:t>
      </w:r>
      <w:r>
        <w:rPr>
          <w:rFonts w:ascii="Times New Roman" w:hAnsi="Times New Roman" w:cs="Times New Roman"/>
          <w:sz w:val="24"/>
          <w:szCs w:val="24"/>
        </w:rPr>
        <w:t>the supporters of this theory are often inclined to preach</w:t>
      </w:r>
      <w:r w:rsidR="00693FCD">
        <w:rPr>
          <w:rFonts w:ascii="Times New Roman" w:hAnsi="Times New Roman" w:cs="Times New Roman"/>
          <w:sz w:val="24"/>
          <w:szCs w:val="24"/>
        </w:rPr>
        <w:t xml:space="preserve">, </w:t>
      </w:r>
      <w:r w:rsidR="00693FCD" w:rsidRPr="004B4E76">
        <w:rPr>
          <w:rFonts w:ascii="Times New Roman" w:hAnsi="Times New Roman" w:cs="Times New Roman"/>
          <w:i/>
          <w:sz w:val="24"/>
          <w:szCs w:val="24"/>
        </w:rPr>
        <w:t>per contra</w:t>
      </w:r>
      <w:r w:rsidR="00693FCD">
        <w:rPr>
          <w:rFonts w:ascii="Times New Roman" w:hAnsi="Times New Roman" w:cs="Times New Roman"/>
          <w:sz w:val="24"/>
          <w:szCs w:val="24"/>
        </w:rPr>
        <w:t xml:space="preserve"> </w:t>
      </w:r>
      <w:r w:rsidR="00222C00">
        <w:rPr>
          <w:rFonts w:ascii="Times New Roman" w:hAnsi="Times New Roman" w:cs="Times New Roman"/>
          <w:sz w:val="24"/>
          <w:szCs w:val="24"/>
        </w:rPr>
        <w:t xml:space="preserve">Adam </w:t>
      </w:r>
      <w:r w:rsidR="00693FCD">
        <w:rPr>
          <w:rFonts w:ascii="Times New Roman" w:hAnsi="Times New Roman" w:cs="Times New Roman"/>
          <w:sz w:val="24"/>
          <w:szCs w:val="24"/>
        </w:rPr>
        <w:t xml:space="preserve">Smith and Henry George, </w:t>
      </w:r>
      <w:r>
        <w:rPr>
          <w:rFonts w:ascii="Times New Roman" w:hAnsi="Times New Roman" w:cs="Times New Roman"/>
          <w:sz w:val="24"/>
          <w:szCs w:val="24"/>
        </w:rPr>
        <w:t xml:space="preserve">the virtues of </w:t>
      </w:r>
      <w:r w:rsidR="00693FCD">
        <w:rPr>
          <w:rFonts w:ascii="Times New Roman" w:hAnsi="Times New Roman" w:cs="Times New Roman"/>
          <w:sz w:val="24"/>
          <w:szCs w:val="24"/>
        </w:rPr>
        <w:t xml:space="preserve">import tariffs, </w:t>
      </w:r>
      <w:r>
        <w:rPr>
          <w:rFonts w:ascii="Times New Roman" w:hAnsi="Times New Roman" w:cs="Times New Roman"/>
          <w:sz w:val="24"/>
          <w:szCs w:val="24"/>
        </w:rPr>
        <w:t>strong patent laws</w:t>
      </w:r>
      <w:r w:rsidR="00693FCD">
        <w:rPr>
          <w:rFonts w:ascii="Times New Roman" w:hAnsi="Times New Roman" w:cs="Times New Roman"/>
          <w:sz w:val="24"/>
          <w:szCs w:val="24"/>
        </w:rPr>
        <w:t>,</w:t>
      </w:r>
      <w:r>
        <w:rPr>
          <w:rFonts w:ascii="Times New Roman" w:hAnsi="Times New Roman" w:cs="Times New Roman"/>
          <w:sz w:val="24"/>
          <w:szCs w:val="24"/>
        </w:rPr>
        <w:t xml:space="preserve"> </w:t>
      </w:r>
      <w:r w:rsidR="00693FCD">
        <w:rPr>
          <w:rFonts w:ascii="Times New Roman" w:hAnsi="Times New Roman" w:cs="Times New Roman"/>
          <w:sz w:val="24"/>
          <w:szCs w:val="24"/>
        </w:rPr>
        <w:t>and taxpayer-financed subsidies to favoured producers</w:t>
      </w:r>
      <w:r w:rsidR="00222C00">
        <w:rPr>
          <w:rFonts w:ascii="Times New Roman" w:hAnsi="Times New Roman" w:cs="Times New Roman"/>
          <w:sz w:val="24"/>
          <w:szCs w:val="24"/>
        </w:rPr>
        <w:t>: a</w:t>
      </w:r>
      <w:r w:rsidR="00693FCD">
        <w:rPr>
          <w:rFonts w:ascii="Times New Roman" w:hAnsi="Times New Roman" w:cs="Times New Roman"/>
          <w:sz w:val="24"/>
          <w:szCs w:val="24"/>
        </w:rPr>
        <w:t xml:space="preserve">ll at the expense of the consumer and the overall size of the market. So </w:t>
      </w:r>
      <w:r w:rsidR="00EC7478">
        <w:rPr>
          <w:rFonts w:ascii="Times New Roman" w:hAnsi="Times New Roman" w:cs="Times New Roman"/>
          <w:sz w:val="24"/>
          <w:szCs w:val="24"/>
        </w:rPr>
        <w:t xml:space="preserve">perversely </w:t>
      </w:r>
      <w:r w:rsidR="00693FCD">
        <w:rPr>
          <w:rFonts w:ascii="Times New Roman" w:hAnsi="Times New Roman" w:cs="Times New Roman"/>
          <w:sz w:val="24"/>
          <w:szCs w:val="24"/>
        </w:rPr>
        <w:t>different!</w:t>
      </w:r>
    </w:p>
    <w:p w:rsidR="00693FCD" w:rsidRDefault="00693FCD" w:rsidP="00A6313B">
      <w:pPr>
        <w:pStyle w:val="NoSpacing"/>
        <w:jc w:val="both"/>
        <w:rPr>
          <w:rFonts w:ascii="Times New Roman" w:hAnsi="Times New Roman" w:cs="Times New Roman"/>
          <w:sz w:val="24"/>
          <w:szCs w:val="24"/>
        </w:rPr>
      </w:pPr>
    </w:p>
    <w:p w:rsidR="00530536" w:rsidRDefault="00530536" w:rsidP="00A63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For a rough but evidently telling indication of the relative buoyancy of land values, </w:t>
      </w:r>
      <w:r w:rsidR="00222C00">
        <w:rPr>
          <w:rFonts w:ascii="Times New Roman" w:hAnsi="Times New Roman" w:cs="Times New Roman"/>
          <w:sz w:val="24"/>
          <w:szCs w:val="24"/>
        </w:rPr>
        <w:t xml:space="preserve">Table 2 below </w:t>
      </w:r>
      <w:r>
        <w:rPr>
          <w:rFonts w:ascii="Times New Roman" w:hAnsi="Times New Roman" w:cs="Times New Roman"/>
          <w:sz w:val="24"/>
          <w:szCs w:val="24"/>
        </w:rPr>
        <w:t xml:space="preserve">shows the </w:t>
      </w:r>
      <w:r w:rsidR="001A22B4">
        <w:rPr>
          <w:rFonts w:ascii="Times New Roman" w:hAnsi="Times New Roman" w:cs="Times New Roman"/>
          <w:sz w:val="24"/>
          <w:szCs w:val="24"/>
        </w:rPr>
        <w:t xml:space="preserve">significantly </w:t>
      </w:r>
      <w:r>
        <w:rPr>
          <w:rFonts w:ascii="Times New Roman" w:hAnsi="Times New Roman" w:cs="Times New Roman"/>
          <w:sz w:val="24"/>
          <w:szCs w:val="24"/>
        </w:rPr>
        <w:t xml:space="preserve">greater average </w:t>
      </w:r>
      <w:r w:rsidR="001A22B4">
        <w:rPr>
          <w:rFonts w:ascii="Times New Roman" w:hAnsi="Times New Roman" w:cs="Times New Roman"/>
          <w:sz w:val="24"/>
          <w:szCs w:val="24"/>
        </w:rPr>
        <w:t xml:space="preserve">annual </w:t>
      </w:r>
      <w:r w:rsidR="00B7528A">
        <w:rPr>
          <w:rFonts w:ascii="Times New Roman" w:hAnsi="Times New Roman" w:cs="Times New Roman"/>
          <w:sz w:val="24"/>
          <w:szCs w:val="24"/>
        </w:rPr>
        <w:t xml:space="preserve">inflation of </w:t>
      </w:r>
      <w:r>
        <w:rPr>
          <w:rFonts w:ascii="Times New Roman" w:hAnsi="Times New Roman" w:cs="Times New Roman"/>
          <w:sz w:val="24"/>
          <w:szCs w:val="24"/>
        </w:rPr>
        <w:t xml:space="preserve">house prices </w:t>
      </w:r>
      <w:r w:rsidR="001A22B4">
        <w:rPr>
          <w:rFonts w:ascii="Times New Roman" w:hAnsi="Times New Roman" w:cs="Times New Roman"/>
          <w:sz w:val="24"/>
          <w:szCs w:val="24"/>
        </w:rPr>
        <w:t xml:space="preserve">in the UK </w:t>
      </w:r>
      <w:r>
        <w:rPr>
          <w:rFonts w:ascii="Times New Roman" w:hAnsi="Times New Roman" w:cs="Times New Roman"/>
          <w:sz w:val="24"/>
          <w:szCs w:val="24"/>
        </w:rPr>
        <w:t xml:space="preserve">between 1970-2012 than the </w:t>
      </w:r>
      <w:r w:rsidR="00B7528A">
        <w:rPr>
          <w:rFonts w:ascii="Times New Roman" w:hAnsi="Times New Roman" w:cs="Times New Roman"/>
          <w:sz w:val="24"/>
          <w:szCs w:val="24"/>
        </w:rPr>
        <w:t xml:space="preserve">overall </w:t>
      </w:r>
      <w:r>
        <w:rPr>
          <w:rFonts w:ascii="Times New Roman" w:hAnsi="Times New Roman" w:cs="Times New Roman"/>
          <w:sz w:val="24"/>
          <w:szCs w:val="24"/>
        </w:rPr>
        <w:t xml:space="preserve">inflation </w:t>
      </w:r>
      <w:r w:rsidR="00B7528A">
        <w:rPr>
          <w:rFonts w:ascii="Times New Roman" w:hAnsi="Times New Roman" w:cs="Times New Roman"/>
          <w:sz w:val="24"/>
          <w:szCs w:val="24"/>
        </w:rPr>
        <w:t>rate</w:t>
      </w:r>
      <w:r w:rsidR="001A22B4">
        <w:rPr>
          <w:rFonts w:ascii="Times New Roman" w:hAnsi="Times New Roman" w:cs="Times New Roman"/>
          <w:sz w:val="24"/>
          <w:szCs w:val="24"/>
        </w:rPr>
        <w:t>: 9.8% as against 6.7%</w:t>
      </w:r>
      <w:r>
        <w:rPr>
          <w:rFonts w:ascii="Times New Roman" w:hAnsi="Times New Roman" w:cs="Times New Roman"/>
          <w:sz w:val="24"/>
          <w:szCs w:val="24"/>
        </w:rPr>
        <w:t>.</w:t>
      </w:r>
      <w:r w:rsidR="00222C00">
        <w:rPr>
          <w:rFonts w:ascii="Times New Roman" w:hAnsi="Times New Roman" w:cs="Times New Roman"/>
          <w:sz w:val="24"/>
          <w:szCs w:val="24"/>
        </w:rPr>
        <w:t xml:space="preserve"> This </w:t>
      </w:r>
      <w:r w:rsidR="001A22B4">
        <w:rPr>
          <w:rFonts w:ascii="Times New Roman" w:hAnsi="Times New Roman" w:cs="Times New Roman"/>
          <w:sz w:val="24"/>
          <w:szCs w:val="24"/>
        </w:rPr>
        <w:t xml:space="preserve">disparity </w:t>
      </w:r>
      <w:r w:rsidR="00222C00">
        <w:rPr>
          <w:rFonts w:ascii="Times New Roman" w:hAnsi="Times New Roman" w:cs="Times New Roman"/>
          <w:sz w:val="24"/>
          <w:szCs w:val="24"/>
        </w:rPr>
        <w:t xml:space="preserve">is especially evident in London and the South-East where population and regional incomes have risen most rapidly, creating greatest pressure on the fixed </w:t>
      </w:r>
      <w:r w:rsidR="001A22B4">
        <w:rPr>
          <w:rFonts w:ascii="Times New Roman" w:hAnsi="Times New Roman" w:cs="Times New Roman"/>
          <w:sz w:val="24"/>
          <w:szCs w:val="24"/>
        </w:rPr>
        <w:t xml:space="preserve">amount of </w:t>
      </w:r>
      <w:r w:rsidR="00222C00">
        <w:rPr>
          <w:rFonts w:ascii="Times New Roman" w:hAnsi="Times New Roman" w:cs="Times New Roman"/>
          <w:sz w:val="24"/>
          <w:szCs w:val="24"/>
        </w:rPr>
        <w:t>space</w:t>
      </w:r>
      <w:r w:rsidR="001A22B4">
        <w:rPr>
          <w:rFonts w:ascii="Times New Roman" w:hAnsi="Times New Roman" w:cs="Times New Roman"/>
          <w:sz w:val="24"/>
          <w:szCs w:val="24"/>
        </w:rPr>
        <w:t>.</w:t>
      </w:r>
      <w:r w:rsidR="00222C00">
        <w:rPr>
          <w:rFonts w:ascii="Times New Roman" w:hAnsi="Times New Roman" w:cs="Times New Roman"/>
          <w:sz w:val="24"/>
          <w:szCs w:val="24"/>
        </w:rPr>
        <w:t xml:space="preserve"> House prices there </w:t>
      </w:r>
      <w:r w:rsidR="004B4E76">
        <w:rPr>
          <w:rFonts w:ascii="Times New Roman" w:hAnsi="Times New Roman" w:cs="Times New Roman"/>
          <w:sz w:val="24"/>
          <w:szCs w:val="24"/>
        </w:rPr>
        <w:t>exhibited roughly</w:t>
      </w:r>
      <w:r w:rsidR="00222C00">
        <w:rPr>
          <w:rFonts w:ascii="Times New Roman" w:hAnsi="Times New Roman" w:cs="Times New Roman"/>
          <w:sz w:val="24"/>
          <w:szCs w:val="24"/>
        </w:rPr>
        <w:t xml:space="preserve"> a four-fold increase in nominal terms. </w:t>
      </w:r>
      <w:r>
        <w:rPr>
          <w:rFonts w:ascii="Times New Roman" w:hAnsi="Times New Roman" w:cs="Times New Roman"/>
          <w:sz w:val="24"/>
          <w:szCs w:val="24"/>
        </w:rPr>
        <w:t xml:space="preserve"> </w:t>
      </w:r>
    </w:p>
    <w:p w:rsidR="00530536" w:rsidRDefault="00530536" w:rsidP="00A6313B">
      <w:pPr>
        <w:pStyle w:val="NoSpacing"/>
        <w:jc w:val="both"/>
        <w:rPr>
          <w:rFonts w:ascii="Times New Roman" w:hAnsi="Times New Roman" w:cs="Times New Roman"/>
          <w:sz w:val="24"/>
          <w:szCs w:val="24"/>
        </w:rPr>
      </w:pPr>
    </w:p>
    <w:p w:rsidR="00530536" w:rsidRDefault="00530536" w:rsidP="00A6313B">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figures </w:t>
      </w:r>
      <w:r w:rsidR="00DD338F">
        <w:rPr>
          <w:rFonts w:ascii="Times New Roman" w:hAnsi="Times New Roman" w:cs="Times New Roman"/>
          <w:sz w:val="24"/>
          <w:szCs w:val="24"/>
        </w:rPr>
        <w:t xml:space="preserve">suggest </w:t>
      </w:r>
      <w:r>
        <w:rPr>
          <w:rFonts w:ascii="Times New Roman" w:hAnsi="Times New Roman" w:cs="Times New Roman"/>
          <w:sz w:val="24"/>
          <w:szCs w:val="24"/>
        </w:rPr>
        <w:t xml:space="preserve">(i) that </w:t>
      </w:r>
      <w:r w:rsidR="00DD338F">
        <w:rPr>
          <w:rFonts w:ascii="Times New Roman" w:hAnsi="Times New Roman" w:cs="Times New Roman"/>
          <w:sz w:val="24"/>
          <w:szCs w:val="24"/>
        </w:rPr>
        <w:t xml:space="preserve">real </w:t>
      </w:r>
      <w:r>
        <w:rPr>
          <w:rFonts w:ascii="Times New Roman" w:hAnsi="Times New Roman" w:cs="Times New Roman"/>
          <w:sz w:val="24"/>
          <w:szCs w:val="24"/>
        </w:rPr>
        <w:t xml:space="preserve">land values </w:t>
      </w:r>
      <w:r w:rsidR="00DD338F">
        <w:rPr>
          <w:rFonts w:ascii="Times New Roman" w:hAnsi="Times New Roman" w:cs="Times New Roman"/>
          <w:sz w:val="24"/>
          <w:szCs w:val="24"/>
        </w:rPr>
        <w:t>(hidden inside the “house” price inflation data, but surely the dominant element relative to the cost of bricks and mortar etc</w:t>
      </w:r>
      <w:r w:rsidR="00737E54">
        <w:rPr>
          <w:rFonts w:ascii="Times New Roman" w:hAnsi="Times New Roman" w:cs="Times New Roman"/>
          <w:sz w:val="24"/>
          <w:szCs w:val="24"/>
        </w:rPr>
        <w:t>.</w:t>
      </w:r>
      <w:r w:rsidR="0059604E">
        <w:rPr>
          <w:rStyle w:val="FootnoteReference"/>
          <w:rFonts w:ascii="Times New Roman" w:hAnsi="Times New Roman" w:cs="Times New Roman"/>
          <w:sz w:val="24"/>
          <w:szCs w:val="24"/>
        </w:rPr>
        <w:footnoteReference w:id="8"/>
      </w:r>
      <w:r w:rsidR="004570A0">
        <w:rPr>
          <w:rFonts w:ascii="Times New Roman" w:hAnsi="Times New Roman" w:cs="Times New Roman"/>
          <w:sz w:val="24"/>
          <w:szCs w:val="24"/>
        </w:rPr>
        <w:t>)</w:t>
      </w:r>
      <w:r w:rsidR="00DD338F">
        <w:rPr>
          <w:rFonts w:ascii="Times New Roman" w:hAnsi="Times New Roman" w:cs="Times New Roman"/>
          <w:sz w:val="24"/>
          <w:szCs w:val="24"/>
        </w:rPr>
        <w:t xml:space="preserve"> </w:t>
      </w:r>
      <w:r>
        <w:rPr>
          <w:rFonts w:ascii="Times New Roman" w:hAnsi="Times New Roman" w:cs="Times New Roman"/>
          <w:sz w:val="24"/>
          <w:szCs w:val="24"/>
        </w:rPr>
        <w:t xml:space="preserve">are secularly </w:t>
      </w:r>
      <w:r w:rsidR="00DD338F">
        <w:rPr>
          <w:rFonts w:ascii="Times New Roman" w:hAnsi="Times New Roman" w:cs="Times New Roman"/>
          <w:sz w:val="24"/>
          <w:szCs w:val="24"/>
        </w:rPr>
        <w:t xml:space="preserve">very </w:t>
      </w:r>
      <w:r>
        <w:rPr>
          <w:rFonts w:ascii="Times New Roman" w:hAnsi="Times New Roman" w:cs="Times New Roman"/>
          <w:sz w:val="24"/>
          <w:szCs w:val="24"/>
        </w:rPr>
        <w:t>buoyant</w:t>
      </w:r>
      <w:r w:rsidR="00DD338F">
        <w:rPr>
          <w:rFonts w:ascii="Times New Roman" w:hAnsi="Times New Roman" w:cs="Times New Roman"/>
          <w:sz w:val="24"/>
          <w:szCs w:val="24"/>
        </w:rPr>
        <w:t xml:space="preserve">; </w:t>
      </w:r>
      <w:r>
        <w:rPr>
          <w:rFonts w:ascii="Times New Roman" w:hAnsi="Times New Roman" w:cs="Times New Roman"/>
          <w:sz w:val="24"/>
          <w:szCs w:val="24"/>
        </w:rPr>
        <w:t xml:space="preserve">but </w:t>
      </w:r>
      <w:r w:rsidR="00DD338F">
        <w:rPr>
          <w:rFonts w:ascii="Times New Roman" w:hAnsi="Times New Roman" w:cs="Times New Roman"/>
          <w:sz w:val="24"/>
          <w:szCs w:val="24"/>
        </w:rPr>
        <w:t xml:space="preserve">that </w:t>
      </w:r>
      <w:r>
        <w:rPr>
          <w:rFonts w:ascii="Times New Roman" w:hAnsi="Times New Roman" w:cs="Times New Roman"/>
          <w:sz w:val="24"/>
          <w:szCs w:val="24"/>
        </w:rPr>
        <w:t xml:space="preserve">(ii) </w:t>
      </w:r>
      <w:r w:rsidR="00DD338F">
        <w:rPr>
          <w:rFonts w:ascii="Times New Roman" w:hAnsi="Times New Roman" w:cs="Times New Roman"/>
          <w:sz w:val="24"/>
          <w:szCs w:val="24"/>
        </w:rPr>
        <w:t xml:space="preserve">land values are </w:t>
      </w:r>
      <w:r>
        <w:rPr>
          <w:rFonts w:ascii="Times New Roman" w:hAnsi="Times New Roman" w:cs="Times New Roman"/>
          <w:sz w:val="24"/>
          <w:szCs w:val="24"/>
        </w:rPr>
        <w:t>also cyclically very volatile.</w:t>
      </w:r>
    </w:p>
    <w:p w:rsidR="00234BF3" w:rsidRDefault="00234BF3" w:rsidP="00A6313B">
      <w:pPr>
        <w:pStyle w:val="NoSpacing"/>
        <w:jc w:val="both"/>
        <w:rPr>
          <w:rFonts w:ascii="Times New Roman" w:hAnsi="Times New Roman" w:cs="Times New Roman"/>
          <w:sz w:val="24"/>
          <w:szCs w:val="24"/>
        </w:rPr>
      </w:pPr>
    </w:p>
    <w:p w:rsidR="00AA3240" w:rsidRDefault="00AA3240">
      <w:pPr>
        <w:rPr>
          <w:rFonts w:ascii="Times New Roman" w:hAnsi="Times New Roman" w:cs="Times New Roman"/>
          <w:sz w:val="24"/>
          <w:szCs w:val="24"/>
        </w:rPr>
      </w:pPr>
      <w:r>
        <w:rPr>
          <w:rFonts w:ascii="Times New Roman" w:hAnsi="Times New Roman" w:cs="Times New Roman"/>
          <w:sz w:val="24"/>
          <w:szCs w:val="24"/>
        </w:rPr>
        <w:br w:type="page"/>
      </w:r>
    </w:p>
    <w:p w:rsidR="00030E3A" w:rsidRPr="00AA3240" w:rsidRDefault="00357187" w:rsidP="00AA3240">
      <w:pPr>
        <w:pStyle w:val="NoSpacing"/>
        <w:jc w:val="center"/>
        <w:rPr>
          <w:rFonts w:ascii="Times New Roman" w:hAnsi="Times New Roman" w:cs="Times New Roman"/>
          <w:sz w:val="24"/>
          <w:szCs w:val="24"/>
        </w:rPr>
      </w:pPr>
      <w:r w:rsidRPr="00357187">
        <w:rPr>
          <w:rFonts w:ascii="Times New Roman" w:hAnsi="Times New Roman" w:cs="Times New Roman"/>
          <w:b/>
          <w:sz w:val="24"/>
          <w:szCs w:val="24"/>
        </w:rPr>
        <w:lastRenderedPageBreak/>
        <w:t>Table 2:</w:t>
      </w:r>
      <w:r>
        <w:rPr>
          <w:rFonts w:ascii="Times New Roman" w:hAnsi="Times New Roman" w:cs="Times New Roman"/>
          <w:b/>
          <w:sz w:val="24"/>
          <w:szCs w:val="24"/>
        </w:rPr>
        <w:t xml:space="preserve"> </w:t>
      </w:r>
      <w:r w:rsidRPr="00357187">
        <w:rPr>
          <w:rFonts w:ascii="Times New Roman" w:hAnsi="Times New Roman" w:cs="Times New Roman"/>
          <w:b/>
          <w:sz w:val="24"/>
          <w:szCs w:val="24"/>
        </w:rPr>
        <w:t>Nominal and Real UK GDP, 1969-2012</w:t>
      </w:r>
    </w:p>
    <w:tbl>
      <w:tblPr>
        <w:tblpPr w:leftFromText="180" w:rightFromText="180" w:vertAnchor="text" w:tblpY="1"/>
        <w:tblOverlap w:val="never"/>
        <w:tblW w:w="5000" w:type="pct"/>
        <w:tblCellSpacing w:w="15" w:type="dxa"/>
        <w:tblCellMar>
          <w:top w:w="15" w:type="dxa"/>
          <w:left w:w="15" w:type="dxa"/>
          <w:bottom w:w="15" w:type="dxa"/>
          <w:right w:w="15" w:type="dxa"/>
        </w:tblCellMar>
        <w:tblLook w:val="04A0" w:firstRow="1" w:lastRow="0" w:firstColumn="1" w:lastColumn="0" w:noHBand="0" w:noVBand="1"/>
      </w:tblPr>
      <w:tblGrid>
        <w:gridCol w:w="1024"/>
        <w:gridCol w:w="1515"/>
        <w:gridCol w:w="1514"/>
        <w:gridCol w:w="1717"/>
        <w:gridCol w:w="1717"/>
        <w:gridCol w:w="1714"/>
      </w:tblGrid>
      <w:tr w:rsidR="00030E3A" w:rsidRPr="00917DFC" w:rsidTr="00AA3240">
        <w:trPr>
          <w:tblCellSpacing w:w="15" w:type="dxa"/>
        </w:trPr>
        <w:tc>
          <w:tcPr>
            <w:tcW w:w="532" w:type="pct"/>
            <w:shd w:val="clear" w:color="auto" w:fill="DDDDFF"/>
            <w:tcMar>
              <w:top w:w="100" w:type="dxa"/>
              <w:left w:w="100" w:type="dxa"/>
              <w:bottom w:w="100" w:type="dxa"/>
              <w:right w:w="100" w:type="dxa"/>
            </w:tcMar>
            <w:vAlign w:val="center"/>
            <w:hideMark/>
          </w:tcPr>
          <w:p w:rsidR="00030E3A" w:rsidRPr="00DD338F" w:rsidRDefault="00030E3A" w:rsidP="00030E3A">
            <w:pPr>
              <w:spacing w:before="100" w:after="100" w:line="240" w:lineRule="auto"/>
              <w:ind w:left="100" w:right="100"/>
              <w:jc w:val="center"/>
              <w:rPr>
                <w:rFonts w:ascii="Arial" w:eastAsia="Times New Roman" w:hAnsi="Arial" w:cs="Arial"/>
                <w:sz w:val="18"/>
                <w:szCs w:val="18"/>
                <w:lang w:eastAsia="en-GB"/>
              </w:rPr>
            </w:pPr>
            <w:r w:rsidRPr="00DD338F">
              <w:rPr>
                <w:rFonts w:ascii="Arial" w:eastAsia="Times New Roman" w:hAnsi="Arial" w:cs="Arial"/>
                <w:b/>
                <w:bCs/>
                <w:sz w:val="18"/>
                <w:szCs w:val="18"/>
                <w:lang w:eastAsia="en-GB"/>
              </w:rPr>
              <w:t>Year</w:t>
            </w:r>
          </w:p>
        </w:tc>
        <w:tc>
          <w:tcPr>
            <w:tcW w:w="807" w:type="pct"/>
            <w:shd w:val="clear" w:color="auto" w:fill="DDDDFF"/>
            <w:tcMar>
              <w:top w:w="100" w:type="dxa"/>
              <w:left w:w="100" w:type="dxa"/>
              <w:bottom w:w="100" w:type="dxa"/>
              <w:right w:w="100" w:type="dxa"/>
            </w:tcMar>
            <w:vAlign w:val="center"/>
            <w:hideMark/>
          </w:tcPr>
          <w:p w:rsidR="00030E3A" w:rsidRPr="00DD338F" w:rsidRDefault="00030E3A" w:rsidP="00030E3A">
            <w:pPr>
              <w:spacing w:before="100" w:after="100" w:line="240" w:lineRule="auto"/>
              <w:ind w:left="100" w:right="100"/>
              <w:jc w:val="center"/>
              <w:rPr>
                <w:rFonts w:ascii="Arial" w:eastAsia="Times New Roman" w:hAnsi="Arial" w:cs="Arial"/>
                <w:sz w:val="18"/>
                <w:szCs w:val="18"/>
                <w:lang w:eastAsia="en-GB"/>
              </w:rPr>
            </w:pPr>
            <w:r w:rsidRPr="00DD338F">
              <w:rPr>
                <w:rFonts w:ascii="Arial" w:eastAsia="Times New Roman" w:hAnsi="Arial" w:cs="Arial"/>
                <w:b/>
                <w:bCs/>
                <w:sz w:val="18"/>
                <w:szCs w:val="18"/>
                <w:lang w:eastAsia="en-GB"/>
              </w:rPr>
              <w:t>Nominal GDP</w:t>
            </w:r>
            <w:r w:rsidRPr="00DD338F">
              <w:rPr>
                <w:rFonts w:ascii="Arial" w:eastAsia="Times New Roman" w:hAnsi="Arial" w:cs="Arial"/>
                <w:sz w:val="18"/>
                <w:szCs w:val="18"/>
                <w:lang w:eastAsia="en-GB"/>
              </w:rPr>
              <w:br/>
              <w:t>(millions of pounds)</w:t>
            </w:r>
          </w:p>
        </w:tc>
        <w:tc>
          <w:tcPr>
            <w:tcW w:w="806" w:type="pct"/>
            <w:shd w:val="clear" w:color="auto" w:fill="DDDDFF"/>
            <w:tcMar>
              <w:top w:w="100" w:type="dxa"/>
              <w:left w:w="100" w:type="dxa"/>
              <w:bottom w:w="100" w:type="dxa"/>
              <w:right w:w="100" w:type="dxa"/>
            </w:tcMar>
            <w:vAlign w:val="center"/>
            <w:hideMark/>
          </w:tcPr>
          <w:p w:rsidR="00030E3A" w:rsidRPr="00DD338F" w:rsidRDefault="00030E3A" w:rsidP="00030E3A">
            <w:pPr>
              <w:spacing w:before="100" w:after="100" w:line="240" w:lineRule="auto"/>
              <w:ind w:left="100" w:right="100"/>
              <w:jc w:val="center"/>
              <w:rPr>
                <w:rFonts w:ascii="Arial" w:eastAsia="Times New Roman" w:hAnsi="Arial" w:cs="Arial"/>
                <w:sz w:val="18"/>
                <w:szCs w:val="18"/>
                <w:lang w:eastAsia="en-GB"/>
              </w:rPr>
            </w:pPr>
            <w:r w:rsidRPr="00DD338F">
              <w:rPr>
                <w:rFonts w:ascii="Arial" w:eastAsia="Times New Roman" w:hAnsi="Arial" w:cs="Arial"/>
                <w:b/>
                <w:bCs/>
                <w:sz w:val="18"/>
                <w:szCs w:val="18"/>
                <w:lang w:eastAsia="en-GB"/>
              </w:rPr>
              <w:t>Real GDP</w:t>
            </w:r>
            <w:r w:rsidRPr="00DD338F">
              <w:rPr>
                <w:rFonts w:ascii="Arial" w:eastAsia="Times New Roman" w:hAnsi="Arial" w:cs="Arial"/>
                <w:sz w:val="18"/>
                <w:szCs w:val="18"/>
                <w:lang w:eastAsia="en-GB"/>
              </w:rPr>
              <w:br/>
            </w:r>
            <w:r w:rsidRPr="00DD338F">
              <w:rPr>
                <w:rFonts w:ascii="Arial" w:eastAsia="Times New Roman" w:hAnsi="Arial" w:cs="Arial"/>
                <w:sz w:val="18"/>
                <w:szCs w:val="18"/>
                <w:lang w:eastAsia="en-GB"/>
              </w:rPr>
              <w:br/>
              <w:t>(millions of 2008 pounds)</w:t>
            </w:r>
          </w:p>
        </w:tc>
        <w:tc>
          <w:tcPr>
            <w:tcW w:w="917" w:type="pct"/>
            <w:shd w:val="clear" w:color="auto" w:fill="DDDDFF"/>
            <w:tcMar>
              <w:top w:w="100" w:type="dxa"/>
              <w:left w:w="100" w:type="dxa"/>
              <w:bottom w:w="100" w:type="dxa"/>
              <w:right w:w="100" w:type="dxa"/>
            </w:tcMar>
            <w:vAlign w:val="center"/>
            <w:hideMark/>
          </w:tcPr>
          <w:p w:rsidR="00030E3A" w:rsidRPr="00DD338F" w:rsidRDefault="00030E3A" w:rsidP="00030E3A">
            <w:pPr>
              <w:spacing w:before="100" w:after="100" w:line="240" w:lineRule="auto"/>
              <w:ind w:left="100" w:right="100"/>
              <w:jc w:val="center"/>
              <w:rPr>
                <w:rFonts w:ascii="Arial" w:eastAsia="Times New Roman" w:hAnsi="Arial" w:cs="Arial"/>
                <w:sz w:val="18"/>
                <w:szCs w:val="18"/>
                <w:lang w:eastAsia="en-GB"/>
              </w:rPr>
            </w:pPr>
            <w:r w:rsidRPr="00DD338F">
              <w:rPr>
                <w:rFonts w:ascii="Arial" w:eastAsia="Times New Roman" w:hAnsi="Arial" w:cs="Arial"/>
                <w:b/>
                <w:bCs/>
                <w:sz w:val="18"/>
                <w:szCs w:val="18"/>
                <w:lang w:eastAsia="en-GB"/>
              </w:rPr>
              <w:t xml:space="preserve">GDP </w:t>
            </w:r>
            <w:r w:rsidRPr="003F10B1">
              <w:rPr>
                <w:rFonts w:ascii="Arial" w:eastAsia="Times New Roman" w:hAnsi="Arial" w:cs="Arial"/>
                <w:bCs/>
                <w:sz w:val="18"/>
                <w:szCs w:val="18"/>
                <w:lang w:eastAsia="en-GB"/>
              </w:rPr>
              <w:t>Deflator</w:t>
            </w:r>
            <w:r w:rsidRPr="00DD338F">
              <w:rPr>
                <w:rFonts w:ascii="Arial" w:eastAsia="Times New Roman" w:hAnsi="Arial" w:cs="Arial"/>
                <w:sz w:val="18"/>
                <w:szCs w:val="18"/>
                <w:lang w:eastAsia="en-GB"/>
              </w:rPr>
              <w:br/>
            </w:r>
            <w:r w:rsidRPr="00DD338F">
              <w:rPr>
                <w:rFonts w:ascii="Arial" w:eastAsia="Times New Roman" w:hAnsi="Arial" w:cs="Arial"/>
                <w:sz w:val="18"/>
                <w:szCs w:val="18"/>
                <w:lang w:eastAsia="en-GB"/>
              </w:rPr>
              <w:br/>
              <w:t>(index 2008 = 100)</w:t>
            </w:r>
          </w:p>
        </w:tc>
        <w:tc>
          <w:tcPr>
            <w:tcW w:w="917" w:type="pct"/>
            <w:shd w:val="clear" w:color="auto" w:fill="DDDDFF"/>
          </w:tcPr>
          <w:p w:rsidR="00030E3A" w:rsidRPr="00DD338F" w:rsidRDefault="00030E3A" w:rsidP="00030E3A">
            <w:pPr>
              <w:pStyle w:val="NoSpacing"/>
              <w:rPr>
                <w:b/>
                <w:lang w:eastAsia="en-GB"/>
              </w:rPr>
            </w:pPr>
          </w:p>
          <w:p w:rsidR="00030E3A" w:rsidRPr="00DD338F" w:rsidRDefault="00030E3A" w:rsidP="00DD338F">
            <w:pPr>
              <w:pStyle w:val="NoSpacing"/>
              <w:jc w:val="center"/>
              <w:rPr>
                <w:b/>
                <w:lang w:eastAsia="en-GB"/>
              </w:rPr>
            </w:pPr>
            <w:r w:rsidRPr="00DD338F">
              <w:rPr>
                <w:b/>
                <w:lang w:eastAsia="en-GB"/>
              </w:rPr>
              <w:t>Annual GDP</w:t>
            </w:r>
          </w:p>
          <w:p w:rsidR="00030E3A" w:rsidRPr="00DD338F" w:rsidRDefault="00030E3A" w:rsidP="00DD338F">
            <w:pPr>
              <w:pStyle w:val="NoSpacing"/>
              <w:jc w:val="center"/>
              <w:rPr>
                <w:b/>
                <w:lang w:eastAsia="en-GB"/>
              </w:rPr>
            </w:pPr>
            <w:r w:rsidRPr="00DD338F">
              <w:rPr>
                <w:b/>
                <w:lang w:eastAsia="en-GB"/>
              </w:rPr>
              <w:t>Inflation rate</w:t>
            </w:r>
          </w:p>
          <w:p w:rsidR="00030E3A" w:rsidRPr="00DD338F" w:rsidRDefault="00030E3A" w:rsidP="00DD338F">
            <w:pPr>
              <w:spacing w:before="100" w:after="100" w:line="240" w:lineRule="auto"/>
              <w:ind w:left="100" w:right="100"/>
              <w:jc w:val="center"/>
              <w:rPr>
                <w:rFonts w:ascii="Arial" w:eastAsia="Times New Roman" w:hAnsi="Arial" w:cs="Arial"/>
                <w:bCs/>
                <w:sz w:val="18"/>
                <w:szCs w:val="18"/>
                <w:lang w:eastAsia="en-GB"/>
              </w:rPr>
            </w:pPr>
            <w:r w:rsidRPr="00DD338F">
              <w:rPr>
                <w:rFonts w:ascii="Arial" w:eastAsia="Times New Roman" w:hAnsi="Arial" w:cs="Arial"/>
                <w:bCs/>
                <w:sz w:val="18"/>
                <w:szCs w:val="18"/>
                <w:lang w:eastAsia="en-GB"/>
              </w:rPr>
              <w:t>(implied by GDP deflator)</w:t>
            </w:r>
          </w:p>
        </w:tc>
        <w:tc>
          <w:tcPr>
            <w:tcW w:w="907" w:type="pct"/>
            <w:shd w:val="clear" w:color="auto" w:fill="DDDDFF"/>
          </w:tcPr>
          <w:p w:rsidR="00030E3A" w:rsidRPr="00DD338F" w:rsidRDefault="00030E3A" w:rsidP="00030E3A">
            <w:pPr>
              <w:pStyle w:val="NoSpacing"/>
              <w:rPr>
                <w:b/>
                <w:lang w:eastAsia="en-GB"/>
              </w:rPr>
            </w:pPr>
          </w:p>
          <w:p w:rsidR="00030E3A" w:rsidRPr="00DD338F" w:rsidRDefault="00030E3A" w:rsidP="00030E3A">
            <w:pPr>
              <w:pStyle w:val="NoSpacing"/>
              <w:jc w:val="center"/>
              <w:rPr>
                <w:b/>
                <w:lang w:eastAsia="en-GB"/>
              </w:rPr>
            </w:pPr>
            <w:r w:rsidRPr="00DD338F">
              <w:rPr>
                <w:b/>
                <w:lang w:eastAsia="en-GB"/>
              </w:rPr>
              <w:t>Annual rate of house price inflation</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1969</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47,023</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563,097</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8.35</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p>
        </w:tc>
        <w:tc>
          <w:tcPr>
            <w:tcW w:w="907" w:type="pct"/>
          </w:tcPr>
          <w:p w:rsidR="00030E3A" w:rsidRPr="00917DFC" w:rsidRDefault="00030E3A" w:rsidP="00030E3A">
            <w:pPr>
              <w:spacing w:after="0" w:line="240" w:lineRule="auto"/>
              <w:jc w:val="center"/>
              <w:rPr>
                <w:rFonts w:ascii="Arial" w:eastAsia="Times New Roman" w:hAnsi="Arial" w:cs="Arial"/>
                <w:sz w:val="18"/>
                <w:szCs w:val="18"/>
                <w:lang w:eastAsia="en-GB"/>
              </w:rPr>
            </w:pP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1970</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51,696</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575,736</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8.98</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 xml:space="preserve">  7.5%</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6.3</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1971</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57,670</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587,805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9.81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9.2</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11.9</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1972</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64,621</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609,275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10.61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8.2</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33.8</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1973</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74,545</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653,124</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11.41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7.5</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36.2</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1974</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84,513</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644,539</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13.11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15.0</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8.3</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1975</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106,717</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640,534</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16.66</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27.1</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5.9</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1976</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126,274</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657,418</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19.21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15.3</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8.9</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1977</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146,973</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673,025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21.84</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13.7</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7.6</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1978</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169,344</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694,765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24.37</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11.6</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15.8</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1979</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199,220</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713,380</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27.93</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14.6</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29.3</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1980</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233,184</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698,528</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33.38</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19.5</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21.2</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1981</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256,279</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689,289</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37.18</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11.4</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5.5</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1982</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281,024</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703,711</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39.93</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7.4</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1983</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307,207</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729,215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42.13</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5.5</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11.9</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1984</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329,913</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748,691</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44.07</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4.6</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9.1</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1985</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361,758</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775,643</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46.64</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5.8</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9.1</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1986</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389,149</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806,765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48.24</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3.4</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13.9</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1987</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428,665</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843,572</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50.82</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5.3</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16.5</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1988</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478,510</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886,020</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54.01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6.3</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25.6</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1989</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525,274</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906,236</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57.96</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7.3</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21.0</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1990</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570,283</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913,299</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62.44</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7.7</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1991</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598,664</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900,580</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66.48</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6.5</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1992</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622,080</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901,901</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68.97</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3.8</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-3.8</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1993</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654,196</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921,945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70.96</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2.9</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1994</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692,987</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961,407</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72.08</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1995</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733,266</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990,751</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74.01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0.7</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1996</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781,726</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1,019,337</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76.69</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3.6</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1997</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830,013</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1,054,232</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78.73</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2.7</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9.4</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1998</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879,152</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1,094,704</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80.31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10.9</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1999</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928,871</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1,134,723</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81.86</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11.5</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2000</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976,282</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1,185,305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82.37</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0.6</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14.3</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2001</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1,021,625</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1,222,650</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83.56</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1.4</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8.4</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2002</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1,075,368</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1,255,142</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85.68</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17.0</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2003</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1,139,441</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1,299,381</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87.69</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2.4</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15.7</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2004</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1,202,370</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1,337,782</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89.88</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11.8</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2005</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1,254,292</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1,365,685</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91.84</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5.6</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2006</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1,328,597</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1,401,290</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94.81</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3.2</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6.3</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2007</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1,405,796</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1,449,861</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96.96</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2.2</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10.9</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2008</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1,433,870</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1,433,871</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100.00</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3.1</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-0.8</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2009</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1,393,854</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1,371,163</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101.65</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1.7</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-7.6</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2010</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1,458,452</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1,395,312</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104.53</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2.8</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7.3</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2011</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1,508,836</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1,410,903</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106.94</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-0.9</w:t>
            </w:r>
          </w:p>
        </w:tc>
      </w:tr>
      <w:tr w:rsidR="00030E3A" w:rsidRPr="00917DFC" w:rsidTr="00AA3240">
        <w:trPr>
          <w:tblCellSpacing w:w="15" w:type="dxa"/>
        </w:trPr>
        <w:tc>
          <w:tcPr>
            <w:tcW w:w="532"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2012</w:t>
            </w:r>
          </w:p>
        </w:tc>
        <w:tc>
          <w:tcPr>
            <w:tcW w:w="80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1,529,921</w:t>
            </w:r>
          </w:p>
        </w:tc>
        <w:tc>
          <w:tcPr>
            <w:tcW w:w="806"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1,414,821</w:t>
            </w:r>
          </w:p>
        </w:tc>
        <w:tc>
          <w:tcPr>
            <w:tcW w:w="917" w:type="pct"/>
            <w:vAlign w:val="center"/>
            <w:hideMark/>
          </w:tcPr>
          <w:p w:rsidR="00030E3A" w:rsidRPr="00917DFC" w:rsidRDefault="00030E3A" w:rsidP="00030E3A">
            <w:pPr>
              <w:spacing w:after="0" w:line="240" w:lineRule="auto"/>
              <w:jc w:val="center"/>
              <w:rPr>
                <w:rFonts w:ascii="Arial" w:eastAsia="Times New Roman" w:hAnsi="Arial" w:cs="Arial"/>
                <w:sz w:val="18"/>
                <w:szCs w:val="18"/>
                <w:lang w:eastAsia="en-GB"/>
              </w:rPr>
            </w:pPr>
            <w:r w:rsidRPr="00917DFC">
              <w:rPr>
                <w:rFonts w:ascii="Arial" w:eastAsia="Times New Roman" w:hAnsi="Arial" w:cs="Arial"/>
                <w:sz w:val="18"/>
                <w:szCs w:val="18"/>
                <w:lang w:eastAsia="en-GB"/>
              </w:rPr>
              <w:t>108.14</w:t>
            </w:r>
          </w:p>
        </w:tc>
        <w:tc>
          <w:tcPr>
            <w:tcW w:w="917" w:type="pct"/>
          </w:tcPr>
          <w:p w:rsidR="00030E3A" w:rsidRPr="00917DFC"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1.1</w:t>
            </w:r>
          </w:p>
        </w:tc>
        <w:tc>
          <w:tcPr>
            <w:tcW w:w="907" w:type="pct"/>
          </w:tcPr>
          <w:p w:rsidR="00030E3A" w:rsidRDefault="00030E3A" w:rsidP="00030E3A">
            <w:pPr>
              <w:spacing w:after="0" w:line="24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1.6</w:t>
            </w:r>
          </w:p>
        </w:tc>
      </w:tr>
    </w:tbl>
    <w:p w:rsidR="00AA3240" w:rsidRDefault="004C7C96" w:rsidP="00AA3240">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Figure 2</w:t>
      </w:r>
      <w:r w:rsidR="00AA3240">
        <w:rPr>
          <w:rFonts w:ascii="Times New Roman" w:hAnsi="Times New Roman" w:cs="Times New Roman"/>
          <w:sz w:val="24"/>
          <w:szCs w:val="24"/>
        </w:rPr>
        <w:t xml:space="preserve"> </w:t>
      </w:r>
      <w:r w:rsidR="00B43DE1">
        <w:rPr>
          <w:rFonts w:ascii="Times New Roman" w:hAnsi="Times New Roman" w:cs="Times New Roman"/>
          <w:sz w:val="24"/>
          <w:szCs w:val="24"/>
        </w:rPr>
        <w:t>(</w:t>
      </w:r>
      <w:r w:rsidR="00AA3240">
        <w:rPr>
          <w:rFonts w:ascii="Times New Roman" w:hAnsi="Times New Roman" w:cs="Times New Roman"/>
          <w:sz w:val="24"/>
          <w:szCs w:val="24"/>
        </w:rPr>
        <w:t>below</w:t>
      </w:r>
      <w:r w:rsidR="00B43DE1">
        <w:rPr>
          <w:rFonts w:ascii="Times New Roman" w:hAnsi="Times New Roman" w:cs="Times New Roman"/>
          <w:sz w:val="24"/>
          <w:szCs w:val="24"/>
        </w:rPr>
        <w:t>)</w:t>
      </w:r>
      <w:r w:rsidR="00AA3240">
        <w:rPr>
          <w:rFonts w:ascii="Times New Roman" w:hAnsi="Times New Roman" w:cs="Times New Roman"/>
          <w:sz w:val="24"/>
          <w:szCs w:val="24"/>
        </w:rPr>
        <w:t xml:space="preserve"> on the growth of house (i.e., land) prices in real terms (2012 prices)</w:t>
      </w:r>
      <w:r w:rsidR="00AA3240">
        <w:rPr>
          <w:rStyle w:val="FootnoteReference"/>
          <w:rFonts w:ascii="Times New Roman" w:hAnsi="Times New Roman" w:cs="Times New Roman"/>
          <w:sz w:val="24"/>
          <w:szCs w:val="24"/>
        </w:rPr>
        <w:footnoteReference w:id="9"/>
      </w:r>
      <w:r w:rsidR="00AA3240">
        <w:rPr>
          <w:rFonts w:ascii="Times New Roman" w:hAnsi="Times New Roman" w:cs="Times New Roman"/>
          <w:sz w:val="24"/>
          <w:szCs w:val="24"/>
        </w:rPr>
        <w:t xml:space="preserve"> also dramatically illustrates both (i) and (ii). It confirms the way that house (i.e., land) prices have risen faster than the rate of inflation and in real terms faster than the growth of real GDP. This is especially evident in London where there has been the greatest increase in infrastructural and business investment. This together with rapid population growth has pushed up the pressure of demand against a fixed supply of land. </w:t>
      </w:r>
    </w:p>
    <w:p w:rsidR="00AA3240" w:rsidRDefault="00AA3240" w:rsidP="00AA3240">
      <w:pPr>
        <w:pStyle w:val="NoSpacing"/>
        <w:jc w:val="both"/>
        <w:rPr>
          <w:rFonts w:ascii="Times New Roman" w:hAnsi="Times New Roman" w:cs="Times New Roman"/>
          <w:sz w:val="24"/>
          <w:szCs w:val="24"/>
        </w:rPr>
      </w:pPr>
    </w:p>
    <w:p w:rsidR="00AA3240" w:rsidRDefault="00AA3240" w:rsidP="00AA3240">
      <w:pPr>
        <w:pStyle w:val="NoSpacing"/>
        <w:jc w:val="both"/>
        <w:rPr>
          <w:rFonts w:ascii="Times New Roman" w:hAnsi="Times New Roman" w:cs="Times New Roman"/>
          <w:sz w:val="24"/>
          <w:szCs w:val="24"/>
        </w:rPr>
      </w:pPr>
      <w:r>
        <w:rPr>
          <w:rFonts w:ascii="Times New Roman" w:hAnsi="Times New Roman" w:cs="Times New Roman"/>
          <w:sz w:val="24"/>
          <w:szCs w:val="24"/>
        </w:rPr>
        <w:t>We shall then examine the implications raised by these figures for the extent of deadweight losses imposed on us all by the distortive fiscal system we have been living with for so long, and the corresponding opportunities that a more natural system would provide.</w:t>
      </w:r>
    </w:p>
    <w:p w:rsidR="00AA3240" w:rsidRDefault="00AA3240" w:rsidP="00234BF3">
      <w:pPr>
        <w:jc w:val="center"/>
        <w:rPr>
          <w:b/>
        </w:rPr>
      </w:pPr>
    </w:p>
    <w:p w:rsidR="00234BF3" w:rsidRPr="00234BF3" w:rsidRDefault="004C7C96" w:rsidP="00234BF3">
      <w:pPr>
        <w:jc w:val="center"/>
        <w:rPr>
          <w:b/>
        </w:rPr>
      </w:pPr>
      <w:r>
        <w:rPr>
          <w:b/>
        </w:rPr>
        <w:t>Figure 2</w:t>
      </w:r>
      <w:r w:rsidR="00357187">
        <w:rPr>
          <w:b/>
        </w:rPr>
        <w:t xml:space="preserve">: </w:t>
      </w:r>
      <w:r w:rsidR="00FE2D9D">
        <w:rPr>
          <w:b/>
        </w:rPr>
        <w:t>(</w:t>
      </w:r>
      <w:r w:rsidR="00737E54">
        <w:rPr>
          <w:b/>
        </w:rPr>
        <w:t>REAL</w:t>
      </w:r>
      <w:r w:rsidR="00FE2D9D">
        <w:rPr>
          <w:b/>
        </w:rPr>
        <w:t>)</w:t>
      </w:r>
      <w:r w:rsidR="00737E54">
        <w:rPr>
          <w:b/>
        </w:rPr>
        <w:t xml:space="preserve"> </w:t>
      </w:r>
      <w:r w:rsidR="00234BF3" w:rsidRPr="00234BF3">
        <w:rPr>
          <w:b/>
        </w:rPr>
        <w:t>HOUSE PRI</w:t>
      </w:r>
      <w:r w:rsidR="00737E54">
        <w:rPr>
          <w:b/>
        </w:rPr>
        <w:t xml:space="preserve">CE BOOM, 1966-2013 </w:t>
      </w:r>
    </w:p>
    <w:p w:rsidR="00234BF3" w:rsidRDefault="00234BF3">
      <w:r w:rsidRPr="00234BF3">
        <w:rPr>
          <w:noProof/>
          <w:lang w:eastAsia="en-GB"/>
        </w:rPr>
        <w:drawing>
          <wp:inline distT="0" distB="0" distL="0" distR="0" wp14:anchorId="0773D273" wp14:editId="015D3A15">
            <wp:extent cx="5613991" cy="3451766"/>
            <wp:effectExtent l="0" t="0" r="635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1993" cy="3456686"/>
                    </a:xfrm>
                    <a:prstGeom prst="rect">
                      <a:avLst/>
                    </a:prstGeom>
                    <a:noFill/>
                    <a:ln>
                      <a:noFill/>
                    </a:ln>
                    <a:extLst/>
                  </pic:spPr>
                </pic:pic>
              </a:graphicData>
            </a:graphic>
          </wp:inline>
        </w:drawing>
      </w:r>
    </w:p>
    <w:p w:rsidR="00B85DC6" w:rsidRDefault="00234BF3" w:rsidP="00B85DC6">
      <w:pPr>
        <w:jc w:val="right"/>
        <w:rPr>
          <w:b/>
        </w:rPr>
      </w:pPr>
      <w:r w:rsidRPr="00234BF3">
        <w:rPr>
          <w:b/>
        </w:rPr>
        <w:t>Source: D</w:t>
      </w:r>
      <w:r w:rsidR="004B4E76">
        <w:rPr>
          <w:b/>
        </w:rPr>
        <w:t>avid</w:t>
      </w:r>
      <w:r w:rsidRPr="00234BF3">
        <w:rPr>
          <w:b/>
        </w:rPr>
        <w:t xml:space="preserve"> Bell and D</w:t>
      </w:r>
      <w:r w:rsidR="004B4E76">
        <w:rPr>
          <w:b/>
        </w:rPr>
        <w:t>avid</w:t>
      </w:r>
      <w:r w:rsidRPr="00234BF3">
        <w:rPr>
          <w:b/>
        </w:rPr>
        <w:t xml:space="preserve"> Eiser, 2014</w:t>
      </w:r>
      <w:r w:rsidR="00FE2D9D">
        <w:rPr>
          <w:rStyle w:val="FootnoteReference"/>
          <w:b/>
        </w:rPr>
        <w:footnoteReference w:id="10"/>
      </w:r>
    </w:p>
    <w:p w:rsidR="00DD338F" w:rsidRPr="00B85DC6" w:rsidRDefault="00DD338F" w:rsidP="00B85DC6">
      <w:pPr>
        <w:rPr>
          <w:b/>
        </w:rPr>
      </w:pPr>
      <w:r w:rsidRPr="00DD338F">
        <w:rPr>
          <w:rFonts w:ascii="Times New Roman" w:hAnsi="Times New Roman" w:cs="Times New Roman"/>
          <w:b/>
          <w:sz w:val="24"/>
          <w:szCs w:val="24"/>
        </w:rPr>
        <w:t>3. The “deadweight losses” or “excess burdens” of taxation.</w:t>
      </w:r>
    </w:p>
    <w:p w:rsidR="00754F50" w:rsidRDefault="001226DD" w:rsidP="001226DD">
      <w:pPr>
        <w:jc w:val="both"/>
        <w:rPr>
          <w:rFonts w:ascii="Times New Roman" w:hAnsi="Times New Roman" w:cs="Times New Roman"/>
          <w:sz w:val="24"/>
          <w:szCs w:val="24"/>
        </w:rPr>
      </w:pPr>
      <w:r>
        <w:rPr>
          <w:rFonts w:ascii="Times New Roman" w:hAnsi="Times New Roman" w:cs="Times New Roman"/>
          <w:sz w:val="24"/>
          <w:szCs w:val="24"/>
        </w:rPr>
        <w:t xml:space="preserve">We have seen that taxes on wages and </w:t>
      </w:r>
      <w:r w:rsidR="00BC1783">
        <w:rPr>
          <w:rFonts w:ascii="Times New Roman" w:hAnsi="Times New Roman" w:cs="Times New Roman"/>
          <w:sz w:val="24"/>
          <w:szCs w:val="24"/>
        </w:rPr>
        <w:t xml:space="preserve">on </w:t>
      </w:r>
      <w:r>
        <w:rPr>
          <w:rFonts w:ascii="Times New Roman" w:hAnsi="Times New Roman" w:cs="Times New Roman"/>
          <w:sz w:val="24"/>
          <w:szCs w:val="24"/>
        </w:rPr>
        <w:t xml:space="preserve">the profits of genuinely productive enterprise ultimately depress the land values and rents that remain in private hands. </w:t>
      </w:r>
      <w:r w:rsidR="00754F50">
        <w:rPr>
          <w:rFonts w:ascii="Times New Roman" w:hAnsi="Times New Roman" w:cs="Times New Roman"/>
          <w:sz w:val="24"/>
          <w:szCs w:val="24"/>
        </w:rPr>
        <w:t xml:space="preserve">Land values and rents are also lower the lower is the growth of the economy because that means a lower growth of demand for land and natural resources. </w:t>
      </w:r>
      <w:r>
        <w:rPr>
          <w:rFonts w:ascii="Times New Roman" w:hAnsi="Times New Roman" w:cs="Times New Roman"/>
          <w:sz w:val="24"/>
          <w:szCs w:val="24"/>
        </w:rPr>
        <w:t xml:space="preserve">Nevertheless, </w:t>
      </w:r>
      <w:r w:rsidR="00754F50">
        <w:rPr>
          <w:rFonts w:ascii="Times New Roman" w:hAnsi="Times New Roman" w:cs="Times New Roman"/>
          <w:sz w:val="24"/>
          <w:szCs w:val="24"/>
        </w:rPr>
        <w:t xml:space="preserve">much land value </w:t>
      </w:r>
      <w:r>
        <w:rPr>
          <w:rFonts w:ascii="Times New Roman" w:hAnsi="Times New Roman" w:cs="Times New Roman"/>
          <w:sz w:val="24"/>
          <w:szCs w:val="24"/>
        </w:rPr>
        <w:t xml:space="preserve">evidently </w:t>
      </w:r>
      <w:r>
        <w:rPr>
          <w:rFonts w:ascii="Times New Roman" w:hAnsi="Times New Roman" w:cs="Times New Roman"/>
          <w:sz w:val="24"/>
          <w:szCs w:val="24"/>
        </w:rPr>
        <w:lastRenderedPageBreak/>
        <w:t xml:space="preserve">does still remain in private hands. </w:t>
      </w:r>
      <w:r w:rsidR="00104D4C">
        <w:rPr>
          <w:rFonts w:ascii="Times New Roman" w:hAnsi="Times New Roman" w:cs="Times New Roman"/>
          <w:sz w:val="24"/>
          <w:szCs w:val="24"/>
        </w:rPr>
        <w:t>Thus</w:t>
      </w:r>
      <w:r w:rsidR="00754F50">
        <w:rPr>
          <w:rFonts w:ascii="Times New Roman" w:hAnsi="Times New Roman" w:cs="Times New Roman"/>
          <w:sz w:val="24"/>
          <w:szCs w:val="24"/>
        </w:rPr>
        <w:t xml:space="preserve"> governments have relied more heavily on earned income and expenditure taxes, including tariffs and quota restrictions on foreign trade, than on the unearned incomes from rent. </w:t>
      </w:r>
    </w:p>
    <w:p w:rsidR="00693FCD" w:rsidRDefault="00754F50" w:rsidP="001226DD">
      <w:pPr>
        <w:jc w:val="both"/>
        <w:rPr>
          <w:rFonts w:ascii="Times New Roman" w:hAnsi="Times New Roman" w:cs="Times New Roman"/>
          <w:sz w:val="24"/>
          <w:szCs w:val="24"/>
        </w:rPr>
      </w:pPr>
      <w:r>
        <w:rPr>
          <w:rFonts w:ascii="Times New Roman" w:hAnsi="Times New Roman" w:cs="Times New Roman"/>
          <w:sz w:val="24"/>
          <w:szCs w:val="24"/>
        </w:rPr>
        <w:t xml:space="preserve">The </w:t>
      </w:r>
      <w:r w:rsidR="00EC7478">
        <w:rPr>
          <w:rFonts w:ascii="Times New Roman" w:hAnsi="Times New Roman" w:cs="Times New Roman"/>
          <w:sz w:val="24"/>
          <w:szCs w:val="24"/>
        </w:rPr>
        <w:t xml:space="preserve">deadweight losses from </w:t>
      </w:r>
      <w:r>
        <w:rPr>
          <w:rFonts w:ascii="Times New Roman" w:hAnsi="Times New Roman" w:cs="Times New Roman"/>
          <w:sz w:val="24"/>
          <w:szCs w:val="24"/>
        </w:rPr>
        <w:t xml:space="preserve">those </w:t>
      </w:r>
      <w:r w:rsidR="00EC7478">
        <w:rPr>
          <w:rFonts w:ascii="Times New Roman" w:hAnsi="Times New Roman" w:cs="Times New Roman"/>
          <w:sz w:val="24"/>
          <w:szCs w:val="24"/>
        </w:rPr>
        <w:t>taxes and protectionism are far gr</w:t>
      </w:r>
      <w:r>
        <w:rPr>
          <w:rFonts w:ascii="Times New Roman" w:hAnsi="Times New Roman" w:cs="Times New Roman"/>
          <w:sz w:val="24"/>
          <w:szCs w:val="24"/>
        </w:rPr>
        <w:t>eater than is commonly realised, and I shall simply list them here.</w:t>
      </w:r>
    </w:p>
    <w:p w:rsidR="00754F50" w:rsidRDefault="00754F50" w:rsidP="001226DD">
      <w:pPr>
        <w:jc w:val="both"/>
        <w:rPr>
          <w:rFonts w:ascii="Times New Roman" w:hAnsi="Times New Roman" w:cs="Times New Roman"/>
          <w:sz w:val="24"/>
          <w:szCs w:val="24"/>
        </w:rPr>
      </w:pPr>
      <w:r>
        <w:rPr>
          <w:rFonts w:ascii="Times New Roman" w:hAnsi="Times New Roman" w:cs="Times New Roman"/>
          <w:sz w:val="24"/>
          <w:szCs w:val="24"/>
        </w:rPr>
        <w:t xml:space="preserve">1. By raising costs, taxes </w:t>
      </w:r>
      <w:r w:rsidR="00B82738">
        <w:rPr>
          <w:rFonts w:ascii="Times New Roman" w:hAnsi="Times New Roman" w:cs="Times New Roman"/>
          <w:sz w:val="24"/>
          <w:szCs w:val="24"/>
        </w:rPr>
        <w:t>depress wages and profits and this cuts the supply of work and workers at the margin. It also discourages investment by reducing the profitability of productive enterprise. Unemployment and – equally significant – underemployment increase. Many potential workers are openly unemployed; many others choose leisure over work when the marginal rate of tax on extra earnings is high. GDP falls below its potential. A figure of 10% can easily be attached to that loss.</w:t>
      </w:r>
    </w:p>
    <w:p w:rsidR="00D67040" w:rsidRDefault="00B82738" w:rsidP="001226DD">
      <w:pPr>
        <w:jc w:val="both"/>
        <w:rPr>
          <w:rFonts w:ascii="Times New Roman" w:hAnsi="Times New Roman" w:cs="Times New Roman"/>
          <w:sz w:val="24"/>
          <w:szCs w:val="24"/>
        </w:rPr>
      </w:pPr>
      <w:r>
        <w:rPr>
          <w:rFonts w:ascii="Times New Roman" w:hAnsi="Times New Roman" w:cs="Times New Roman"/>
          <w:sz w:val="24"/>
          <w:szCs w:val="24"/>
        </w:rPr>
        <w:t xml:space="preserve">2. By increasing the cost of labour and capital while treating rents and capital gains from land relatively lightly, </w:t>
      </w:r>
      <w:r w:rsidR="00D67040">
        <w:rPr>
          <w:rFonts w:ascii="Times New Roman" w:hAnsi="Times New Roman" w:cs="Times New Roman"/>
          <w:sz w:val="24"/>
          <w:szCs w:val="24"/>
        </w:rPr>
        <w:t>their relative prices are distorted. This has two effects: (i) the after-tax price of land falls relative to the price of labour and capital and this encourages its relatively wasteful use. Factor proportions diverge from what is most economically efficient from the social viewpoint. Most egregious is the holding of land idle purely for an anticipated speculative gain.</w:t>
      </w:r>
    </w:p>
    <w:p w:rsidR="00B82738" w:rsidRDefault="00D67040" w:rsidP="001226DD">
      <w:pPr>
        <w:jc w:val="both"/>
        <w:rPr>
          <w:rFonts w:ascii="Times New Roman" w:hAnsi="Times New Roman" w:cs="Times New Roman"/>
          <w:sz w:val="24"/>
          <w:szCs w:val="24"/>
        </w:rPr>
      </w:pPr>
      <w:r>
        <w:rPr>
          <w:rFonts w:ascii="Times New Roman" w:hAnsi="Times New Roman" w:cs="Times New Roman"/>
          <w:sz w:val="24"/>
          <w:szCs w:val="24"/>
        </w:rPr>
        <w:t xml:space="preserve">3. The price of “housing” is greater when taxes are imposed on the cost of building materials and the labour of construction workers. The </w:t>
      </w:r>
      <w:r w:rsidR="000B606F">
        <w:rPr>
          <w:rFonts w:ascii="Times New Roman" w:hAnsi="Times New Roman" w:cs="Times New Roman"/>
          <w:sz w:val="24"/>
          <w:szCs w:val="24"/>
        </w:rPr>
        <w:t xml:space="preserve">market </w:t>
      </w:r>
      <w:r>
        <w:rPr>
          <w:rFonts w:ascii="Times New Roman" w:hAnsi="Times New Roman" w:cs="Times New Roman"/>
          <w:sz w:val="24"/>
          <w:szCs w:val="24"/>
        </w:rPr>
        <w:t xml:space="preserve">price of land, on the other hand, is </w:t>
      </w:r>
      <w:r w:rsidR="000B606F">
        <w:rPr>
          <w:rFonts w:ascii="Times New Roman" w:hAnsi="Times New Roman" w:cs="Times New Roman"/>
          <w:sz w:val="24"/>
          <w:szCs w:val="24"/>
        </w:rPr>
        <w:t xml:space="preserve">higher the lower are the taxes that are imposed on its rent or selling price. This </w:t>
      </w:r>
      <w:r>
        <w:rPr>
          <w:rFonts w:ascii="Times New Roman" w:hAnsi="Times New Roman" w:cs="Times New Roman"/>
          <w:sz w:val="24"/>
          <w:szCs w:val="24"/>
        </w:rPr>
        <w:t>price has to be paid up-front when houses (new or old) are purchased.</w:t>
      </w:r>
      <w:r w:rsidR="000B606F">
        <w:rPr>
          <w:rFonts w:ascii="Times New Roman" w:hAnsi="Times New Roman" w:cs="Times New Roman"/>
          <w:sz w:val="24"/>
          <w:szCs w:val="24"/>
        </w:rPr>
        <w:t xml:space="preserve"> This makes housing less affordable and depresses the size and quality of housing and indeed the extent of homelessness.</w:t>
      </w:r>
    </w:p>
    <w:p w:rsidR="000B606F" w:rsidRDefault="000B606F" w:rsidP="001226DD">
      <w:pPr>
        <w:jc w:val="both"/>
        <w:rPr>
          <w:rFonts w:ascii="Times New Roman" w:hAnsi="Times New Roman" w:cs="Times New Roman"/>
          <w:sz w:val="24"/>
          <w:szCs w:val="24"/>
        </w:rPr>
      </w:pPr>
      <w:r>
        <w:rPr>
          <w:rFonts w:ascii="Times New Roman" w:hAnsi="Times New Roman" w:cs="Times New Roman"/>
          <w:sz w:val="24"/>
          <w:szCs w:val="24"/>
        </w:rPr>
        <w:t xml:space="preserve">4. The high and secularly rising price of land encourages its purchase as a speculative investment. This does not increase its supply. On the contrary, because the supply of land is fixed, the speculative demand both drives up its price and reduces its availability for productive use and/or (equally important) encourages its inefficient use. </w:t>
      </w:r>
    </w:p>
    <w:p w:rsidR="000B606F" w:rsidRDefault="000B606F" w:rsidP="001226DD">
      <w:pPr>
        <w:jc w:val="both"/>
        <w:rPr>
          <w:rFonts w:ascii="Times New Roman" w:hAnsi="Times New Roman" w:cs="Times New Roman"/>
          <w:sz w:val="24"/>
          <w:szCs w:val="24"/>
        </w:rPr>
      </w:pPr>
      <w:r>
        <w:rPr>
          <w:rFonts w:ascii="Times New Roman" w:hAnsi="Times New Roman" w:cs="Times New Roman"/>
          <w:sz w:val="24"/>
          <w:szCs w:val="24"/>
        </w:rPr>
        <w:t xml:space="preserve">5. This speculative demand explains the volatility of land prices and the </w:t>
      </w:r>
      <w:r w:rsidR="00B70ED0">
        <w:rPr>
          <w:rFonts w:ascii="Times New Roman" w:hAnsi="Times New Roman" w:cs="Times New Roman"/>
          <w:sz w:val="24"/>
          <w:szCs w:val="24"/>
        </w:rPr>
        <w:t xml:space="preserve">credit-driven </w:t>
      </w:r>
      <w:r>
        <w:rPr>
          <w:rFonts w:ascii="Times New Roman" w:hAnsi="Times New Roman" w:cs="Times New Roman"/>
          <w:sz w:val="24"/>
          <w:szCs w:val="24"/>
        </w:rPr>
        <w:t xml:space="preserve">cycle of boom and bust that </w:t>
      </w:r>
      <w:r w:rsidR="00B70ED0">
        <w:rPr>
          <w:rFonts w:ascii="Times New Roman" w:hAnsi="Times New Roman" w:cs="Times New Roman"/>
          <w:sz w:val="24"/>
          <w:szCs w:val="24"/>
        </w:rPr>
        <w:t>produces depressions that cost the economy much more than is gained from increased activity during the upswing of the cycle. (Compare the gains from the “roaring twenties” with the costs of the Great Depression of the ‘thirties.)</w:t>
      </w:r>
    </w:p>
    <w:p w:rsidR="00085EED" w:rsidRDefault="00085EED" w:rsidP="001226DD">
      <w:pPr>
        <w:jc w:val="both"/>
        <w:rPr>
          <w:rFonts w:ascii="Times New Roman" w:hAnsi="Times New Roman" w:cs="Times New Roman"/>
          <w:sz w:val="24"/>
          <w:szCs w:val="24"/>
        </w:rPr>
      </w:pPr>
      <w:r>
        <w:rPr>
          <w:rFonts w:ascii="Times New Roman" w:hAnsi="Times New Roman" w:cs="Times New Roman"/>
          <w:sz w:val="24"/>
          <w:szCs w:val="24"/>
        </w:rPr>
        <w:t>6. The poverty and inequality that these dis</w:t>
      </w:r>
      <w:r w:rsidR="00BF474C">
        <w:rPr>
          <w:rFonts w:ascii="Times New Roman" w:hAnsi="Times New Roman" w:cs="Times New Roman"/>
          <w:sz w:val="24"/>
          <w:szCs w:val="24"/>
        </w:rPr>
        <w:t xml:space="preserve">tortions produce give rise to social dislocations, class conflict, crime and drug-taking that further vitiates overall productivity and necessitates the diversion of a large fraction of public expenditure on the welfare budget that tackles the symptoms rather than the causes of the disease, and promotes a dependency culture rather than a vibrant one that enhances self-respect and fulfilment. </w:t>
      </w:r>
    </w:p>
    <w:p w:rsidR="00B70ED0" w:rsidRDefault="00BF474C" w:rsidP="001226DD">
      <w:pPr>
        <w:jc w:val="both"/>
        <w:rPr>
          <w:rFonts w:ascii="Times New Roman" w:hAnsi="Times New Roman" w:cs="Times New Roman"/>
          <w:sz w:val="24"/>
          <w:szCs w:val="24"/>
        </w:rPr>
      </w:pPr>
      <w:r>
        <w:rPr>
          <w:rFonts w:ascii="Times New Roman" w:hAnsi="Times New Roman" w:cs="Times New Roman"/>
          <w:sz w:val="24"/>
          <w:szCs w:val="24"/>
        </w:rPr>
        <w:t>7.</w:t>
      </w:r>
      <w:r w:rsidR="00B70ED0">
        <w:rPr>
          <w:rFonts w:ascii="Times New Roman" w:hAnsi="Times New Roman" w:cs="Times New Roman"/>
          <w:sz w:val="24"/>
          <w:szCs w:val="24"/>
        </w:rPr>
        <w:t xml:space="preserve"> The reduction in productive activity depresses real reciprocal demand in the overall economy. The size of the market is smaller. The division of labour in its many powerful, productivity-enhancing manifestations is limited by this limitation in the size </w:t>
      </w:r>
      <w:r w:rsidR="00BC1783">
        <w:rPr>
          <w:rFonts w:ascii="Times New Roman" w:hAnsi="Times New Roman" w:cs="Times New Roman"/>
          <w:sz w:val="24"/>
          <w:szCs w:val="24"/>
        </w:rPr>
        <w:t>of the economy, as Smith, Ricardo and George understood.</w:t>
      </w:r>
      <w:r w:rsidR="00B70ED0">
        <w:rPr>
          <w:rFonts w:ascii="Times New Roman" w:hAnsi="Times New Roman" w:cs="Times New Roman"/>
          <w:sz w:val="24"/>
          <w:szCs w:val="24"/>
        </w:rPr>
        <w:t xml:space="preserve"> </w:t>
      </w:r>
    </w:p>
    <w:p w:rsidR="00B70ED0" w:rsidRDefault="00BF474C" w:rsidP="001226DD">
      <w:pPr>
        <w:jc w:val="both"/>
        <w:rPr>
          <w:rFonts w:ascii="Times New Roman" w:hAnsi="Times New Roman" w:cs="Times New Roman"/>
          <w:sz w:val="24"/>
          <w:szCs w:val="24"/>
        </w:rPr>
      </w:pPr>
      <w:r>
        <w:rPr>
          <w:rFonts w:ascii="Times New Roman" w:hAnsi="Times New Roman" w:cs="Times New Roman"/>
          <w:sz w:val="24"/>
          <w:szCs w:val="24"/>
        </w:rPr>
        <w:lastRenderedPageBreak/>
        <w:t>8.</w:t>
      </w:r>
      <w:r w:rsidR="00B70ED0">
        <w:rPr>
          <w:rFonts w:ascii="Times New Roman" w:hAnsi="Times New Roman" w:cs="Times New Roman"/>
          <w:sz w:val="24"/>
          <w:szCs w:val="24"/>
        </w:rPr>
        <w:t xml:space="preserve"> It is not just that the size of the economy is thereby limited. So too is its rate of growth. </w:t>
      </w:r>
    </w:p>
    <w:p w:rsidR="00B82738" w:rsidRDefault="00BF474C" w:rsidP="001226DD">
      <w:pPr>
        <w:jc w:val="both"/>
        <w:rPr>
          <w:rFonts w:ascii="Times New Roman" w:hAnsi="Times New Roman" w:cs="Times New Roman"/>
          <w:sz w:val="24"/>
          <w:szCs w:val="24"/>
        </w:rPr>
      </w:pPr>
      <w:r>
        <w:rPr>
          <w:rFonts w:ascii="Times New Roman" w:hAnsi="Times New Roman" w:cs="Times New Roman"/>
          <w:sz w:val="24"/>
          <w:szCs w:val="24"/>
        </w:rPr>
        <w:t>9.</w:t>
      </w:r>
      <w:r w:rsidR="00B70ED0">
        <w:rPr>
          <w:rFonts w:ascii="Times New Roman" w:hAnsi="Times New Roman" w:cs="Times New Roman"/>
          <w:sz w:val="24"/>
          <w:szCs w:val="24"/>
        </w:rPr>
        <w:t xml:space="preserve"> On a conservative estimate – surely difficult to challenge unless critics can produce more convincing alternatives – the above evidences of major distortions and losses suggest that </w:t>
      </w:r>
      <w:r w:rsidR="00085EED">
        <w:rPr>
          <w:rFonts w:ascii="Times New Roman" w:hAnsi="Times New Roman" w:cs="Times New Roman"/>
          <w:sz w:val="24"/>
          <w:szCs w:val="24"/>
        </w:rPr>
        <w:t xml:space="preserve">over the century since the failure to </w:t>
      </w:r>
      <w:r w:rsidR="00630264">
        <w:rPr>
          <w:rFonts w:ascii="Times New Roman" w:hAnsi="Times New Roman" w:cs="Times New Roman"/>
          <w:sz w:val="24"/>
          <w:szCs w:val="24"/>
        </w:rPr>
        <w:t xml:space="preserve">implement </w:t>
      </w:r>
      <w:r w:rsidR="003F10B1">
        <w:rPr>
          <w:rFonts w:ascii="Times New Roman" w:hAnsi="Times New Roman" w:cs="Times New Roman"/>
          <w:sz w:val="24"/>
          <w:szCs w:val="24"/>
        </w:rPr>
        <w:t xml:space="preserve">the </w:t>
      </w:r>
      <w:r w:rsidR="00630264">
        <w:rPr>
          <w:rFonts w:ascii="Times New Roman" w:hAnsi="Times New Roman" w:cs="Times New Roman"/>
          <w:sz w:val="24"/>
          <w:szCs w:val="24"/>
        </w:rPr>
        <w:t>goals</w:t>
      </w:r>
      <w:r w:rsidR="003F10B1">
        <w:rPr>
          <w:rFonts w:ascii="Times New Roman" w:hAnsi="Times New Roman" w:cs="Times New Roman"/>
          <w:sz w:val="24"/>
          <w:szCs w:val="24"/>
        </w:rPr>
        <w:t xml:space="preserve"> of the </w:t>
      </w:r>
      <w:r w:rsidR="00085EED">
        <w:rPr>
          <w:rFonts w:ascii="Times New Roman" w:hAnsi="Times New Roman" w:cs="Times New Roman"/>
          <w:sz w:val="24"/>
          <w:szCs w:val="24"/>
        </w:rPr>
        <w:t xml:space="preserve">People’s Budget of 1909, </w:t>
      </w:r>
      <w:r w:rsidR="00B70ED0">
        <w:rPr>
          <w:rFonts w:ascii="Times New Roman" w:hAnsi="Times New Roman" w:cs="Times New Roman"/>
          <w:sz w:val="24"/>
          <w:szCs w:val="24"/>
        </w:rPr>
        <w:t xml:space="preserve">the growth rate of the British and Scottish economies </w:t>
      </w:r>
      <w:r w:rsidR="00085EED">
        <w:rPr>
          <w:rFonts w:ascii="Times New Roman" w:hAnsi="Times New Roman" w:cs="Times New Roman"/>
          <w:sz w:val="24"/>
          <w:szCs w:val="24"/>
        </w:rPr>
        <w:t>has been at least 2 percentage points a year lower than it would otherwise have been.</w:t>
      </w:r>
      <w:r w:rsidR="00085EED">
        <w:rPr>
          <w:rStyle w:val="FootnoteReference"/>
          <w:rFonts w:ascii="Times New Roman" w:hAnsi="Times New Roman" w:cs="Times New Roman"/>
          <w:sz w:val="24"/>
          <w:szCs w:val="24"/>
        </w:rPr>
        <w:footnoteReference w:id="11"/>
      </w:r>
    </w:p>
    <w:p w:rsidR="00077D1F" w:rsidRPr="00077D1F" w:rsidRDefault="00077D1F" w:rsidP="001226DD">
      <w:pPr>
        <w:jc w:val="both"/>
        <w:rPr>
          <w:rFonts w:ascii="Times New Roman" w:hAnsi="Times New Roman" w:cs="Times New Roman"/>
          <w:b/>
          <w:sz w:val="24"/>
          <w:szCs w:val="24"/>
        </w:rPr>
      </w:pPr>
      <w:r w:rsidRPr="00077D1F">
        <w:rPr>
          <w:rFonts w:ascii="Times New Roman" w:hAnsi="Times New Roman" w:cs="Times New Roman"/>
          <w:b/>
          <w:sz w:val="24"/>
          <w:szCs w:val="24"/>
        </w:rPr>
        <w:t>4. The estimated quantitative implications</w:t>
      </w:r>
    </w:p>
    <w:p w:rsidR="00971641" w:rsidRDefault="001810CB" w:rsidP="00B85D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On what I regard as a reasonable and conservative estimate of a 2 percent boost to the annual average growth </w:t>
      </w:r>
      <w:r w:rsidR="00D96DA8">
        <w:rPr>
          <w:rFonts w:ascii="Times New Roman" w:hAnsi="Times New Roman" w:cs="Times New Roman"/>
          <w:sz w:val="24"/>
          <w:szCs w:val="24"/>
        </w:rPr>
        <w:t xml:space="preserve">rate of the UK economy </w:t>
      </w:r>
      <w:r w:rsidR="00B7528A">
        <w:rPr>
          <w:rFonts w:ascii="Times New Roman" w:hAnsi="Times New Roman" w:cs="Times New Roman"/>
          <w:sz w:val="24"/>
          <w:szCs w:val="24"/>
        </w:rPr>
        <w:t xml:space="preserve">and of Scotland </w:t>
      </w:r>
      <w:r w:rsidR="00D96DA8">
        <w:rPr>
          <w:rFonts w:ascii="Times New Roman" w:hAnsi="Times New Roman" w:cs="Times New Roman"/>
          <w:sz w:val="24"/>
          <w:szCs w:val="24"/>
        </w:rPr>
        <w:t>if</w:t>
      </w:r>
      <w:r>
        <w:rPr>
          <w:rFonts w:ascii="Times New Roman" w:hAnsi="Times New Roman" w:cs="Times New Roman"/>
          <w:sz w:val="24"/>
          <w:szCs w:val="24"/>
        </w:rPr>
        <w:t xml:space="preserve"> the radical fiscal reform</w:t>
      </w:r>
      <w:r w:rsidR="00D96DA8">
        <w:rPr>
          <w:rFonts w:ascii="Times New Roman" w:hAnsi="Times New Roman" w:cs="Times New Roman"/>
          <w:sz w:val="24"/>
          <w:szCs w:val="24"/>
        </w:rPr>
        <w:t>s</w:t>
      </w:r>
      <w:r>
        <w:rPr>
          <w:rFonts w:ascii="Times New Roman" w:hAnsi="Times New Roman" w:cs="Times New Roman"/>
          <w:sz w:val="24"/>
          <w:szCs w:val="24"/>
        </w:rPr>
        <w:t xml:space="preserve"> outlined above had been fully in place by, say</w:t>
      </w:r>
      <w:r w:rsidR="00D96DA8">
        <w:rPr>
          <w:rFonts w:ascii="Times New Roman" w:hAnsi="Times New Roman" w:cs="Times New Roman"/>
          <w:sz w:val="24"/>
          <w:szCs w:val="24"/>
        </w:rPr>
        <w:t>,</w:t>
      </w:r>
      <w:r>
        <w:rPr>
          <w:rFonts w:ascii="Times New Roman" w:hAnsi="Times New Roman" w:cs="Times New Roman"/>
          <w:sz w:val="24"/>
          <w:szCs w:val="24"/>
        </w:rPr>
        <w:t xml:space="preserve"> 1970, let me </w:t>
      </w:r>
      <w:r w:rsidR="00D96DA8">
        <w:rPr>
          <w:rFonts w:ascii="Times New Roman" w:hAnsi="Times New Roman" w:cs="Times New Roman"/>
          <w:sz w:val="24"/>
          <w:szCs w:val="24"/>
        </w:rPr>
        <w:t xml:space="preserve">broadly </w:t>
      </w:r>
      <w:r>
        <w:rPr>
          <w:rFonts w:ascii="Times New Roman" w:hAnsi="Times New Roman" w:cs="Times New Roman"/>
          <w:sz w:val="24"/>
          <w:szCs w:val="24"/>
        </w:rPr>
        <w:t xml:space="preserve">quantify the </w:t>
      </w:r>
      <w:r w:rsidR="00085EED">
        <w:rPr>
          <w:rFonts w:ascii="Times New Roman" w:hAnsi="Times New Roman" w:cs="Times New Roman"/>
          <w:sz w:val="24"/>
          <w:szCs w:val="24"/>
        </w:rPr>
        <w:t>implications</w:t>
      </w:r>
      <w:r>
        <w:rPr>
          <w:rFonts w:ascii="Times New Roman" w:hAnsi="Times New Roman" w:cs="Times New Roman"/>
          <w:sz w:val="24"/>
          <w:szCs w:val="24"/>
        </w:rPr>
        <w:t xml:space="preserve">. </w:t>
      </w:r>
    </w:p>
    <w:p w:rsidR="00971641" w:rsidRDefault="00971641" w:rsidP="00B85DC6">
      <w:pPr>
        <w:pStyle w:val="NoSpacing"/>
        <w:jc w:val="both"/>
        <w:rPr>
          <w:rFonts w:ascii="Times New Roman" w:hAnsi="Times New Roman" w:cs="Times New Roman"/>
          <w:sz w:val="24"/>
          <w:szCs w:val="24"/>
        </w:rPr>
      </w:pPr>
    </w:p>
    <w:p w:rsidR="00971641" w:rsidRDefault="001810CB" w:rsidP="00B85D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shall start with the actual 1970 real UK GDP </w:t>
      </w:r>
      <w:r w:rsidR="00971641">
        <w:rPr>
          <w:rFonts w:ascii="Times New Roman" w:hAnsi="Times New Roman" w:cs="Times New Roman"/>
          <w:sz w:val="24"/>
          <w:szCs w:val="24"/>
        </w:rPr>
        <w:t>(</w:t>
      </w:r>
      <w:r>
        <w:rPr>
          <w:rFonts w:ascii="Times New Roman" w:hAnsi="Times New Roman" w:cs="Times New Roman"/>
          <w:sz w:val="24"/>
          <w:szCs w:val="24"/>
        </w:rPr>
        <w:t>in 2008 prices</w:t>
      </w:r>
      <w:r w:rsidR="00971641">
        <w:rPr>
          <w:rFonts w:ascii="Times New Roman" w:hAnsi="Times New Roman" w:cs="Times New Roman"/>
          <w:sz w:val="24"/>
          <w:szCs w:val="24"/>
        </w:rPr>
        <w:t>)</w:t>
      </w:r>
      <w:r>
        <w:rPr>
          <w:rFonts w:ascii="Times New Roman" w:hAnsi="Times New Roman" w:cs="Times New Roman"/>
          <w:sz w:val="24"/>
          <w:szCs w:val="24"/>
        </w:rPr>
        <w:t xml:space="preserve"> of </w:t>
      </w:r>
      <w:r w:rsidRPr="00D96DA8">
        <w:rPr>
          <w:rFonts w:ascii="Times New Roman" w:hAnsi="Times New Roman" w:cs="Times New Roman"/>
          <w:b/>
          <w:sz w:val="24"/>
          <w:szCs w:val="24"/>
        </w:rPr>
        <w:t>£575</w:t>
      </w:r>
      <w:r w:rsidR="006F1366">
        <w:rPr>
          <w:rFonts w:ascii="Times New Roman" w:hAnsi="Times New Roman" w:cs="Times New Roman"/>
          <w:b/>
          <w:sz w:val="24"/>
          <w:szCs w:val="24"/>
        </w:rPr>
        <w:t>.</w:t>
      </w:r>
      <w:r w:rsidRPr="00D96DA8">
        <w:rPr>
          <w:rFonts w:ascii="Times New Roman" w:hAnsi="Times New Roman" w:cs="Times New Roman"/>
          <w:b/>
          <w:sz w:val="24"/>
          <w:szCs w:val="24"/>
        </w:rPr>
        <w:t>7</w:t>
      </w:r>
      <w:r w:rsidR="006F1366">
        <w:rPr>
          <w:rFonts w:ascii="Times New Roman" w:hAnsi="Times New Roman" w:cs="Times New Roman"/>
          <w:b/>
          <w:sz w:val="24"/>
          <w:szCs w:val="24"/>
        </w:rPr>
        <w:t>bn</w:t>
      </w:r>
      <w:r>
        <w:rPr>
          <w:rFonts w:ascii="Times New Roman" w:hAnsi="Times New Roman" w:cs="Times New Roman"/>
          <w:sz w:val="24"/>
          <w:szCs w:val="24"/>
        </w:rPr>
        <w:t xml:space="preserve">. </w:t>
      </w:r>
      <w:r w:rsidR="00971641">
        <w:rPr>
          <w:rFonts w:ascii="Times New Roman" w:hAnsi="Times New Roman" w:cs="Times New Roman"/>
          <w:sz w:val="24"/>
          <w:szCs w:val="24"/>
        </w:rPr>
        <w:t xml:space="preserve">With the UK population in 1970 at 55.6 million, this represented an average income per head of </w:t>
      </w:r>
      <w:r w:rsidR="00971641" w:rsidRPr="00D96DA8">
        <w:rPr>
          <w:rFonts w:ascii="Times New Roman" w:hAnsi="Times New Roman" w:cs="Times New Roman"/>
          <w:b/>
          <w:sz w:val="24"/>
          <w:szCs w:val="24"/>
        </w:rPr>
        <w:t>£10,555</w:t>
      </w:r>
      <w:r w:rsidR="00971641">
        <w:rPr>
          <w:rFonts w:ascii="Times New Roman" w:hAnsi="Times New Roman" w:cs="Times New Roman"/>
          <w:sz w:val="24"/>
          <w:szCs w:val="24"/>
        </w:rPr>
        <w:t xml:space="preserve"> in 2008 pounds. </w:t>
      </w:r>
    </w:p>
    <w:p w:rsidR="00971641" w:rsidRDefault="00971641" w:rsidP="00B85DC6">
      <w:pPr>
        <w:pStyle w:val="NoSpacing"/>
        <w:jc w:val="both"/>
        <w:rPr>
          <w:rFonts w:ascii="Times New Roman" w:hAnsi="Times New Roman" w:cs="Times New Roman"/>
          <w:sz w:val="24"/>
          <w:szCs w:val="24"/>
        </w:rPr>
      </w:pPr>
    </w:p>
    <w:p w:rsidR="00971641" w:rsidRDefault="001810CB" w:rsidP="00B85DC6">
      <w:pPr>
        <w:pStyle w:val="NoSpacing"/>
        <w:jc w:val="both"/>
        <w:rPr>
          <w:rFonts w:ascii="Times New Roman" w:hAnsi="Times New Roman" w:cs="Times New Roman"/>
          <w:sz w:val="24"/>
          <w:szCs w:val="24"/>
        </w:rPr>
      </w:pPr>
      <w:r>
        <w:rPr>
          <w:rFonts w:ascii="Times New Roman" w:hAnsi="Times New Roman" w:cs="Times New Roman"/>
          <w:sz w:val="24"/>
          <w:szCs w:val="24"/>
        </w:rPr>
        <w:t>Over the period 1970-2012, the UK’s annual average growth rate was 2.52% (</w:t>
      </w:r>
      <w:r w:rsidR="006923C6">
        <w:rPr>
          <w:rFonts w:ascii="Times New Roman" w:hAnsi="Times New Roman" w:cs="Times New Roman"/>
          <w:sz w:val="24"/>
          <w:szCs w:val="24"/>
        </w:rPr>
        <w:t xml:space="preserve">2.2% in per capita terms). </w:t>
      </w:r>
      <w:r w:rsidR="00971641">
        <w:rPr>
          <w:rFonts w:ascii="Times New Roman" w:hAnsi="Times New Roman" w:cs="Times New Roman"/>
          <w:sz w:val="24"/>
          <w:szCs w:val="24"/>
        </w:rPr>
        <w:t xml:space="preserve">By 2012, UK GDP stood at </w:t>
      </w:r>
      <w:r w:rsidR="006F1366">
        <w:rPr>
          <w:rFonts w:ascii="Times New Roman" w:hAnsi="Times New Roman" w:cs="Times New Roman"/>
          <w:b/>
          <w:sz w:val="24"/>
          <w:szCs w:val="24"/>
        </w:rPr>
        <w:t>£1,414.</w:t>
      </w:r>
      <w:r w:rsidR="00971641" w:rsidRPr="00D96DA8">
        <w:rPr>
          <w:rFonts w:ascii="Times New Roman" w:hAnsi="Times New Roman" w:cs="Times New Roman"/>
          <w:b/>
          <w:sz w:val="24"/>
          <w:szCs w:val="24"/>
        </w:rPr>
        <w:t>8</w:t>
      </w:r>
      <w:r w:rsidR="006F1366">
        <w:rPr>
          <w:rFonts w:ascii="Times New Roman" w:hAnsi="Times New Roman" w:cs="Times New Roman"/>
          <w:b/>
          <w:sz w:val="24"/>
          <w:szCs w:val="24"/>
        </w:rPr>
        <w:t>bn</w:t>
      </w:r>
      <w:r w:rsidR="00971641">
        <w:rPr>
          <w:rFonts w:ascii="Times New Roman" w:hAnsi="Times New Roman" w:cs="Times New Roman"/>
          <w:sz w:val="24"/>
          <w:szCs w:val="24"/>
        </w:rPr>
        <w:t xml:space="preserve">. With a population that had grown by 14.6% to 63.7 million, average income per head </w:t>
      </w:r>
      <w:r w:rsidR="00D96DA8">
        <w:rPr>
          <w:rFonts w:ascii="Times New Roman" w:hAnsi="Times New Roman" w:cs="Times New Roman"/>
          <w:sz w:val="24"/>
          <w:szCs w:val="24"/>
        </w:rPr>
        <w:t>had slightly more than doubled to</w:t>
      </w:r>
      <w:r w:rsidR="00E24791">
        <w:rPr>
          <w:rFonts w:ascii="Times New Roman" w:hAnsi="Times New Roman" w:cs="Times New Roman"/>
          <w:sz w:val="24"/>
          <w:szCs w:val="24"/>
        </w:rPr>
        <w:t xml:space="preserve"> </w:t>
      </w:r>
      <w:r w:rsidR="00971641" w:rsidRPr="00D96DA8">
        <w:rPr>
          <w:rFonts w:ascii="Times New Roman" w:hAnsi="Times New Roman" w:cs="Times New Roman"/>
          <w:b/>
          <w:sz w:val="24"/>
          <w:szCs w:val="24"/>
        </w:rPr>
        <w:t>£22,211</w:t>
      </w:r>
      <w:r w:rsidR="00971641">
        <w:rPr>
          <w:rFonts w:ascii="Times New Roman" w:hAnsi="Times New Roman" w:cs="Times New Roman"/>
          <w:sz w:val="24"/>
          <w:szCs w:val="24"/>
        </w:rPr>
        <w:t xml:space="preserve"> (again in 2008 pounds).</w:t>
      </w:r>
    </w:p>
    <w:p w:rsidR="00971641" w:rsidRDefault="00971641" w:rsidP="00B85DC6">
      <w:pPr>
        <w:pStyle w:val="NoSpacing"/>
        <w:jc w:val="both"/>
        <w:rPr>
          <w:rFonts w:ascii="Times New Roman" w:hAnsi="Times New Roman" w:cs="Times New Roman"/>
          <w:sz w:val="24"/>
          <w:szCs w:val="24"/>
        </w:rPr>
      </w:pPr>
    </w:p>
    <w:p w:rsidR="00B1529E" w:rsidRDefault="00D96DA8" w:rsidP="00B85DC6">
      <w:pPr>
        <w:pStyle w:val="NoSpacing"/>
        <w:jc w:val="both"/>
        <w:rPr>
          <w:rFonts w:ascii="Times New Roman" w:hAnsi="Times New Roman" w:cs="Times New Roman"/>
          <w:b/>
          <w:sz w:val="24"/>
          <w:szCs w:val="24"/>
        </w:rPr>
      </w:pPr>
      <w:r>
        <w:rPr>
          <w:rFonts w:ascii="Times New Roman" w:hAnsi="Times New Roman" w:cs="Times New Roman"/>
          <w:sz w:val="24"/>
          <w:szCs w:val="24"/>
        </w:rPr>
        <w:t>However, i</w:t>
      </w:r>
      <w:r w:rsidR="006923C6">
        <w:rPr>
          <w:rFonts w:ascii="Times New Roman" w:hAnsi="Times New Roman" w:cs="Times New Roman"/>
          <w:sz w:val="24"/>
          <w:szCs w:val="24"/>
        </w:rPr>
        <w:t xml:space="preserve">f the overall growth rate average had been </w:t>
      </w:r>
      <w:r w:rsidR="00E46C92">
        <w:rPr>
          <w:rFonts w:ascii="Times New Roman" w:hAnsi="Times New Roman" w:cs="Times New Roman"/>
          <w:sz w:val="24"/>
          <w:szCs w:val="24"/>
        </w:rPr>
        <w:t xml:space="preserve">just </w:t>
      </w:r>
      <w:r w:rsidR="006923C6">
        <w:rPr>
          <w:rFonts w:ascii="Times New Roman" w:hAnsi="Times New Roman" w:cs="Times New Roman"/>
          <w:sz w:val="24"/>
          <w:szCs w:val="24"/>
        </w:rPr>
        <w:t xml:space="preserve">two percentage points higher over the period, at 4.52%, </w:t>
      </w:r>
      <w:r w:rsidR="00971641">
        <w:rPr>
          <w:rFonts w:ascii="Times New Roman" w:hAnsi="Times New Roman" w:cs="Times New Roman"/>
          <w:sz w:val="24"/>
          <w:szCs w:val="24"/>
        </w:rPr>
        <w:t xml:space="preserve">the </w:t>
      </w:r>
      <w:r w:rsidR="00E46C92">
        <w:rPr>
          <w:rFonts w:ascii="Times New Roman" w:hAnsi="Times New Roman" w:cs="Times New Roman"/>
          <w:sz w:val="24"/>
          <w:szCs w:val="24"/>
        </w:rPr>
        <w:t xml:space="preserve">real </w:t>
      </w:r>
      <w:r w:rsidR="00971641">
        <w:rPr>
          <w:rFonts w:ascii="Times New Roman" w:hAnsi="Times New Roman" w:cs="Times New Roman"/>
          <w:sz w:val="24"/>
          <w:szCs w:val="24"/>
        </w:rPr>
        <w:t xml:space="preserve">UK GDP in 2012 would have </w:t>
      </w:r>
      <w:r>
        <w:rPr>
          <w:rFonts w:ascii="Times New Roman" w:hAnsi="Times New Roman" w:cs="Times New Roman"/>
          <w:sz w:val="24"/>
          <w:szCs w:val="24"/>
        </w:rPr>
        <w:t xml:space="preserve">been more than 6 times greater, at </w:t>
      </w:r>
      <w:r w:rsidRPr="00D96DA8">
        <w:rPr>
          <w:rFonts w:ascii="Times New Roman" w:hAnsi="Times New Roman" w:cs="Times New Roman"/>
          <w:b/>
          <w:sz w:val="24"/>
          <w:szCs w:val="24"/>
        </w:rPr>
        <w:t>£3,768</w:t>
      </w:r>
      <w:r w:rsidR="006F1366">
        <w:rPr>
          <w:rFonts w:ascii="Times New Roman" w:hAnsi="Times New Roman" w:cs="Times New Roman"/>
          <w:b/>
          <w:sz w:val="24"/>
          <w:szCs w:val="24"/>
        </w:rPr>
        <w:t>.4bn</w:t>
      </w:r>
      <w:r w:rsidR="00B1529E">
        <w:rPr>
          <w:rFonts w:ascii="Times New Roman" w:hAnsi="Times New Roman" w:cs="Times New Roman"/>
          <w:b/>
          <w:sz w:val="24"/>
          <w:szCs w:val="24"/>
        </w:rPr>
        <w:t xml:space="preserve">. </w:t>
      </w:r>
      <w:r w:rsidR="00B1529E">
        <w:rPr>
          <w:rFonts w:ascii="Times New Roman" w:hAnsi="Times New Roman" w:cs="Times New Roman"/>
          <w:sz w:val="24"/>
          <w:szCs w:val="24"/>
        </w:rPr>
        <w:t>I</w:t>
      </w:r>
      <w:r>
        <w:rPr>
          <w:rFonts w:ascii="Times New Roman" w:hAnsi="Times New Roman" w:cs="Times New Roman"/>
          <w:sz w:val="24"/>
          <w:szCs w:val="24"/>
        </w:rPr>
        <w:t>ncome per head</w:t>
      </w:r>
      <w:r w:rsidR="00E46C92">
        <w:rPr>
          <w:rFonts w:ascii="Times New Roman" w:hAnsi="Times New Roman" w:cs="Times New Roman"/>
          <w:sz w:val="24"/>
          <w:szCs w:val="24"/>
        </w:rPr>
        <w:t>, instead of doubling,</w:t>
      </w:r>
      <w:r>
        <w:rPr>
          <w:rFonts w:ascii="Times New Roman" w:hAnsi="Times New Roman" w:cs="Times New Roman"/>
          <w:sz w:val="24"/>
          <w:szCs w:val="24"/>
        </w:rPr>
        <w:t xml:space="preserve"> would have risen </w:t>
      </w:r>
      <w:r w:rsidR="00B1529E">
        <w:rPr>
          <w:rFonts w:ascii="Times New Roman" w:hAnsi="Times New Roman" w:cs="Times New Roman"/>
          <w:sz w:val="24"/>
          <w:szCs w:val="24"/>
        </w:rPr>
        <w:t xml:space="preserve">nearly six-fold, </w:t>
      </w:r>
      <w:r>
        <w:rPr>
          <w:rFonts w:ascii="Times New Roman" w:hAnsi="Times New Roman" w:cs="Times New Roman"/>
          <w:sz w:val="24"/>
          <w:szCs w:val="24"/>
        </w:rPr>
        <w:t xml:space="preserve">to </w:t>
      </w:r>
      <w:r w:rsidRPr="00D96DA8">
        <w:rPr>
          <w:rFonts w:ascii="Times New Roman" w:hAnsi="Times New Roman" w:cs="Times New Roman"/>
          <w:b/>
          <w:sz w:val="24"/>
          <w:szCs w:val="24"/>
        </w:rPr>
        <w:t>£59,158.</w:t>
      </w:r>
      <w:r w:rsidR="00B1529E">
        <w:rPr>
          <w:rFonts w:ascii="Times New Roman" w:hAnsi="Times New Roman" w:cs="Times New Roman"/>
          <w:b/>
          <w:sz w:val="24"/>
          <w:szCs w:val="24"/>
        </w:rPr>
        <w:t xml:space="preserve"> </w:t>
      </w:r>
      <w:r w:rsidR="00E46C92" w:rsidRPr="00E46C92">
        <w:rPr>
          <w:rFonts w:ascii="Times New Roman" w:hAnsi="Times New Roman" w:cs="Times New Roman"/>
          <w:sz w:val="24"/>
          <w:szCs w:val="24"/>
        </w:rPr>
        <w:t>The difference is a very substantial sum:</w:t>
      </w:r>
      <w:r w:rsidR="00E46C92">
        <w:rPr>
          <w:rFonts w:ascii="Times New Roman" w:hAnsi="Times New Roman" w:cs="Times New Roman"/>
          <w:b/>
          <w:sz w:val="24"/>
          <w:szCs w:val="24"/>
        </w:rPr>
        <w:t xml:space="preserve"> £36,947 per head.</w:t>
      </w:r>
    </w:p>
    <w:p w:rsidR="00B1529E" w:rsidRDefault="00B1529E" w:rsidP="00B85DC6">
      <w:pPr>
        <w:pStyle w:val="NoSpacing"/>
        <w:jc w:val="both"/>
        <w:rPr>
          <w:rFonts w:ascii="Times New Roman" w:hAnsi="Times New Roman" w:cs="Times New Roman"/>
          <w:b/>
          <w:sz w:val="24"/>
          <w:szCs w:val="24"/>
        </w:rPr>
      </w:pPr>
    </w:p>
    <w:p w:rsidR="00D96DA8" w:rsidRDefault="00B1529E" w:rsidP="00B85DC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Such is the power, or the magic, of compound interest when the full potential dynamism of a freer economy is given full rein. </w:t>
      </w:r>
      <w:r w:rsidR="00120696">
        <w:rPr>
          <w:rFonts w:ascii="Times New Roman" w:hAnsi="Times New Roman" w:cs="Times New Roman"/>
          <w:sz w:val="24"/>
          <w:szCs w:val="24"/>
        </w:rPr>
        <w:t xml:space="preserve">Growth provides the </w:t>
      </w:r>
      <w:r>
        <w:rPr>
          <w:rFonts w:ascii="Times New Roman" w:hAnsi="Times New Roman" w:cs="Times New Roman"/>
          <w:sz w:val="24"/>
          <w:szCs w:val="24"/>
        </w:rPr>
        <w:t>incentives and the wherewithal to invest in more specialised, hence more productive methods and organization</w:t>
      </w:r>
      <w:r w:rsidR="00120696">
        <w:rPr>
          <w:rFonts w:ascii="Times New Roman" w:hAnsi="Times New Roman" w:cs="Times New Roman"/>
          <w:sz w:val="24"/>
          <w:szCs w:val="24"/>
        </w:rPr>
        <w:t>.</w:t>
      </w:r>
      <w:r w:rsidR="00E46C92">
        <w:rPr>
          <w:rStyle w:val="FootnoteReference"/>
          <w:rFonts w:ascii="Times New Roman" w:hAnsi="Times New Roman" w:cs="Times New Roman"/>
          <w:sz w:val="24"/>
          <w:szCs w:val="24"/>
        </w:rPr>
        <w:footnoteReference w:id="12"/>
      </w:r>
      <w:r w:rsidR="00120696">
        <w:rPr>
          <w:rFonts w:ascii="Times New Roman" w:hAnsi="Times New Roman" w:cs="Times New Roman"/>
          <w:sz w:val="24"/>
          <w:szCs w:val="24"/>
        </w:rPr>
        <w:t xml:space="preserve"> With the greater competition and mobility that come with the removal of distorting and destructive taxation, growth is accelerated. But if, as may be expected, a higher growth rate is largely </w:t>
      </w:r>
      <w:r w:rsidR="00120696">
        <w:rPr>
          <w:rFonts w:ascii="Times New Roman" w:hAnsi="Times New Roman" w:cs="Times New Roman"/>
          <w:sz w:val="24"/>
          <w:szCs w:val="24"/>
        </w:rPr>
        <w:lastRenderedPageBreak/>
        <w:t>self-perpetuating in the absence of major exogenous shocks or policy errors, the gains are compounded and compounded.</w:t>
      </w:r>
    </w:p>
    <w:p w:rsidR="00120696" w:rsidRDefault="00120696" w:rsidP="00B85DC6">
      <w:pPr>
        <w:pStyle w:val="NoSpacing"/>
        <w:jc w:val="both"/>
        <w:rPr>
          <w:rFonts w:ascii="Times New Roman" w:hAnsi="Times New Roman" w:cs="Times New Roman"/>
          <w:sz w:val="24"/>
          <w:szCs w:val="24"/>
        </w:rPr>
      </w:pPr>
    </w:p>
    <w:p w:rsidR="001B6B63" w:rsidRPr="00E66590" w:rsidRDefault="00120696" w:rsidP="00B85DC6">
      <w:pPr>
        <w:pStyle w:val="NoSpacing"/>
        <w:jc w:val="both"/>
        <w:rPr>
          <w:rFonts w:ascii="Times New Roman" w:hAnsi="Times New Roman" w:cs="Times New Roman"/>
          <w:color w:val="FF0000"/>
          <w:sz w:val="24"/>
          <w:szCs w:val="24"/>
        </w:rPr>
      </w:pPr>
      <w:r>
        <w:rPr>
          <w:rFonts w:ascii="Times New Roman" w:hAnsi="Times New Roman" w:cs="Times New Roman"/>
          <w:sz w:val="24"/>
          <w:szCs w:val="24"/>
        </w:rPr>
        <w:t>The U</w:t>
      </w:r>
      <w:r w:rsidR="00AE67BF">
        <w:rPr>
          <w:rFonts w:ascii="Times New Roman" w:hAnsi="Times New Roman" w:cs="Times New Roman"/>
          <w:sz w:val="24"/>
          <w:szCs w:val="24"/>
        </w:rPr>
        <w:t>nited Kingdom</w:t>
      </w:r>
      <w:r>
        <w:rPr>
          <w:rFonts w:ascii="Times New Roman" w:hAnsi="Times New Roman" w:cs="Times New Roman"/>
          <w:sz w:val="24"/>
          <w:szCs w:val="24"/>
        </w:rPr>
        <w:t xml:space="preserve"> and Scotland may </w:t>
      </w:r>
      <w:r w:rsidR="00AE67BF">
        <w:rPr>
          <w:rFonts w:ascii="Times New Roman" w:hAnsi="Times New Roman" w:cs="Times New Roman"/>
          <w:sz w:val="24"/>
          <w:szCs w:val="24"/>
        </w:rPr>
        <w:t xml:space="preserve">be unable </w:t>
      </w:r>
      <w:r>
        <w:rPr>
          <w:rFonts w:ascii="Times New Roman" w:hAnsi="Times New Roman" w:cs="Times New Roman"/>
          <w:sz w:val="24"/>
          <w:szCs w:val="24"/>
        </w:rPr>
        <w:t>to match the Singaporean record</w:t>
      </w:r>
      <w:r w:rsidR="00AE67BF">
        <w:rPr>
          <w:rFonts w:ascii="Times New Roman" w:hAnsi="Times New Roman" w:cs="Times New Roman"/>
          <w:sz w:val="24"/>
          <w:szCs w:val="24"/>
        </w:rPr>
        <w:t xml:space="preserve">, </w:t>
      </w:r>
      <w:r>
        <w:rPr>
          <w:rFonts w:ascii="Times New Roman" w:hAnsi="Times New Roman" w:cs="Times New Roman"/>
          <w:sz w:val="24"/>
          <w:szCs w:val="24"/>
        </w:rPr>
        <w:t xml:space="preserve">though it may be noted that even Singapore has had its ups and downs and an incomplete fiscal revolution since her independence from Britain in 1959. </w:t>
      </w:r>
      <w:r w:rsidR="00AE67BF">
        <w:rPr>
          <w:rFonts w:ascii="Times New Roman" w:hAnsi="Times New Roman" w:cs="Times New Roman"/>
          <w:sz w:val="24"/>
          <w:szCs w:val="24"/>
        </w:rPr>
        <w:t xml:space="preserve">But </w:t>
      </w:r>
      <w:r w:rsidR="00EF1409">
        <w:rPr>
          <w:rFonts w:ascii="Times New Roman" w:hAnsi="Times New Roman" w:cs="Times New Roman"/>
          <w:sz w:val="24"/>
          <w:szCs w:val="24"/>
        </w:rPr>
        <w:t xml:space="preserve">with </w:t>
      </w:r>
      <w:r w:rsidR="00AE67BF">
        <w:rPr>
          <w:rFonts w:ascii="Times New Roman" w:hAnsi="Times New Roman" w:cs="Times New Roman"/>
          <w:sz w:val="24"/>
          <w:szCs w:val="24"/>
        </w:rPr>
        <w:t>her</w:t>
      </w:r>
      <w:r w:rsidR="00EF1409">
        <w:rPr>
          <w:rFonts w:ascii="Times New Roman" w:hAnsi="Times New Roman" w:cs="Times New Roman"/>
          <w:sz w:val="24"/>
          <w:szCs w:val="24"/>
        </w:rPr>
        <w:t xml:space="preserve"> 7.6% average annual rate of growth </w:t>
      </w:r>
      <w:r w:rsidR="0048709A">
        <w:rPr>
          <w:rFonts w:ascii="Times New Roman" w:hAnsi="Times New Roman" w:cs="Times New Roman"/>
          <w:sz w:val="24"/>
          <w:szCs w:val="24"/>
        </w:rPr>
        <w:t>(6% per capita)</w:t>
      </w:r>
      <w:r w:rsidR="006F1366">
        <w:rPr>
          <w:rFonts w:ascii="Times New Roman" w:hAnsi="Times New Roman" w:cs="Times New Roman"/>
          <w:sz w:val="24"/>
          <w:szCs w:val="24"/>
        </w:rPr>
        <w:t xml:space="preserve"> </w:t>
      </w:r>
      <w:r w:rsidR="00EB1D7A">
        <w:rPr>
          <w:rFonts w:ascii="Times New Roman" w:hAnsi="Times New Roman" w:cs="Times New Roman"/>
          <w:sz w:val="24"/>
          <w:szCs w:val="24"/>
        </w:rPr>
        <w:t>since 1970</w:t>
      </w:r>
      <w:r w:rsidR="0048709A">
        <w:rPr>
          <w:rFonts w:ascii="Times New Roman" w:hAnsi="Times New Roman" w:cs="Times New Roman"/>
          <w:sz w:val="24"/>
          <w:szCs w:val="24"/>
        </w:rPr>
        <w:t xml:space="preserve">, </w:t>
      </w:r>
      <w:r w:rsidR="00AE67BF" w:rsidRPr="00B7528A">
        <w:rPr>
          <w:rFonts w:ascii="Times New Roman" w:hAnsi="Times New Roman" w:cs="Times New Roman"/>
          <w:b/>
          <w:sz w:val="24"/>
          <w:szCs w:val="24"/>
        </w:rPr>
        <w:t>Singapore</w:t>
      </w:r>
      <w:r w:rsidR="00EB1D7A" w:rsidRPr="00B7528A">
        <w:rPr>
          <w:rFonts w:ascii="Times New Roman" w:hAnsi="Times New Roman" w:cs="Times New Roman"/>
          <w:b/>
          <w:sz w:val="24"/>
          <w:szCs w:val="24"/>
        </w:rPr>
        <w:t xml:space="preserve"> was able, from a base income only one third that of the UK, to catch up and overtake the UK within less than 40 years.</w:t>
      </w:r>
    </w:p>
    <w:p w:rsidR="001B6B63" w:rsidRDefault="001B6B63" w:rsidP="00B85DC6">
      <w:pPr>
        <w:pStyle w:val="NoSpacing"/>
        <w:jc w:val="both"/>
        <w:rPr>
          <w:rFonts w:ascii="Times New Roman" w:hAnsi="Times New Roman" w:cs="Times New Roman"/>
          <w:sz w:val="24"/>
          <w:szCs w:val="24"/>
        </w:rPr>
      </w:pPr>
    </w:p>
    <w:p w:rsidR="00554048" w:rsidRDefault="00CF7A62" w:rsidP="00B85DC6">
      <w:pPr>
        <w:pStyle w:val="NoSpacing"/>
        <w:jc w:val="both"/>
        <w:rPr>
          <w:rFonts w:ascii="Times New Roman" w:hAnsi="Times New Roman" w:cs="Times New Roman"/>
          <w:sz w:val="24"/>
          <w:szCs w:val="24"/>
        </w:rPr>
      </w:pPr>
      <w:r>
        <w:rPr>
          <w:rFonts w:ascii="Times New Roman" w:hAnsi="Times New Roman" w:cs="Times New Roman"/>
          <w:sz w:val="24"/>
          <w:szCs w:val="24"/>
        </w:rPr>
        <w:t>This again emphasises the almost magical power of compound interest, or the relatively self-sustaining nature of growth</w:t>
      </w:r>
      <w:r w:rsidR="00564714">
        <w:rPr>
          <w:rFonts w:ascii="Times New Roman" w:hAnsi="Times New Roman" w:cs="Times New Roman"/>
          <w:sz w:val="24"/>
          <w:szCs w:val="24"/>
        </w:rPr>
        <w:t xml:space="preserve">. This </w:t>
      </w:r>
      <w:r>
        <w:rPr>
          <w:rFonts w:ascii="Times New Roman" w:hAnsi="Times New Roman" w:cs="Times New Roman"/>
          <w:sz w:val="24"/>
          <w:szCs w:val="24"/>
        </w:rPr>
        <w:t xml:space="preserve">justifies </w:t>
      </w:r>
      <w:r w:rsidR="00564714">
        <w:rPr>
          <w:rFonts w:ascii="Times New Roman" w:hAnsi="Times New Roman" w:cs="Times New Roman"/>
          <w:sz w:val="24"/>
          <w:szCs w:val="24"/>
        </w:rPr>
        <w:t xml:space="preserve">us making </w:t>
      </w:r>
      <w:r>
        <w:rPr>
          <w:rFonts w:ascii="Times New Roman" w:hAnsi="Times New Roman" w:cs="Times New Roman"/>
          <w:sz w:val="24"/>
          <w:szCs w:val="24"/>
        </w:rPr>
        <w:t>every effor</w:t>
      </w:r>
      <w:r w:rsidR="00EB1D7A">
        <w:rPr>
          <w:rFonts w:ascii="Times New Roman" w:hAnsi="Times New Roman" w:cs="Times New Roman"/>
          <w:sz w:val="24"/>
          <w:szCs w:val="24"/>
        </w:rPr>
        <w:t xml:space="preserve">t to grasp the nettle of reform, and even shows the potential for Scotland to achieve a comparable “miracle” relative to the UK if it were to grasp the nettle of truly radical fiscal reform on the basis of full fiscal devolution that allows it to switch from taxing earned incomes toward the collection of unearned land rents instead. Clearly, it would be better if Scotland showed the UK the way </w:t>
      </w:r>
      <w:r w:rsidR="00515BFD">
        <w:rPr>
          <w:rFonts w:ascii="Times New Roman" w:hAnsi="Times New Roman" w:cs="Times New Roman"/>
          <w:sz w:val="24"/>
          <w:szCs w:val="24"/>
        </w:rPr>
        <w:t>by example so they could march together to an even brighter new dawn.</w:t>
      </w:r>
      <w:r w:rsidR="00EB1D7A">
        <w:rPr>
          <w:rFonts w:ascii="Times New Roman" w:hAnsi="Times New Roman" w:cs="Times New Roman"/>
          <w:sz w:val="24"/>
          <w:szCs w:val="24"/>
        </w:rPr>
        <w:t xml:space="preserve"> (In the same way, Sing</w:t>
      </w:r>
      <w:r w:rsidR="00515BFD">
        <w:rPr>
          <w:rFonts w:ascii="Times New Roman" w:hAnsi="Times New Roman" w:cs="Times New Roman"/>
          <w:sz w:val="24"/>
          <w:szCs w:val="24"/>
        </w:rPr>
        <w:t>a</w:t>
      </w:r>
      <w:r w:rsidR="00EB1D7A">
        <w:rPr>
          <w:rFonts w:ascii="Times New Roman" w:hAnsi="Times New Roman" w:cs="Times New Roman"/>
          <w:sz w:val="24"/>
          <w:szCs w:val="24"/>
        </w:rPr>
        <w:t xml:space="preserve">pore </w:t>
      </w:r>
      <w:r w:rsidR="00515BFD">
        <w:rPr>
          <w:rFonts w:ascii="Times New Roman" w:hAnsi="Times New Roman" w:cs="Times New Roman"/>
          <w:sz w:val="24"/>
          <w:szCs w:val="24"/>
        </w:rPr>
        <w:t xml:space="preserve">and Hong Kong </w:t>
      </w:r>
      <w:r w:rsidR="00EB1D7A">
        <w:rPr>
          <w:rFonts w:ascii="Times New Roman" w:hAnsi="Times New Roman" w:cs="Times New Roman"/>
          <w:sz w:val="24"/>
          <w:szCs w:val="24"/>
        </w:rPr>
        <w:t xml:space="preserve">could have been even more prosperous if the rest of Asia </w:t>
      </w:r>
      <w:r w:rsidR="00515BFD">
        <w:rPr>
          <w:rFonts w:ascii="Times New Roman" w:hAnsi="Times New Roman" w:cs="Times New Roman"/>
          <w:sz w:val="24"/>
          <w:szCs w:val="24"/>
        </w:rPr>
        <w:t xml:space="preserve">(or the world) </w:t>
      </w:r>
      <w:r w:rsidR="00EB1D7A">
        <w:rPr>
          <w:rFonts w:ascii="Times New Roman" w:hAnsi="Times New Roman" w:cs="Times New Roman"/>
          <w:sz w:val="24"/>
          <w:szCs w:val="24"/>
        </w:rPr>
        <w:t xml:space="preserve">had followed its economic example. </w:t>
      </w:r>
    </w:p>
    <w:p w:rsidR="00D604BD" w:rsidRDefault="00D604BD" w:rsidP="00B85DC6">
      <w:pPr>
        <w:pStyle w:val="NoSpacing"/>
        <w:jc w:val="both"/>
        <w:rPr>
          <w:rFonts w:ascii="Times New Roman" w:hAnsi="Times New Roman" w:cs="Times New Roman"/>
          <w:sz w:val="24"/>
          <w:szCs w:val="24"/>
        </w:rPr>
      </w:pPr>
    </w:p>
    <w:p w:rsidR="00554048" w:rsidRPr="00554048" w:rsidRDefault="00D604BD">
      <w:pPr>
        <w:rPr>
          <w:rFonts w:ascii="Times New Roman" w:hAnsi="Times New Roman" w:cs="Times New Roman"/>
          <w:b/>
          <w:sz w:val="24"/>
          <w:szCs w:val="24"/>
        </w:rPr>
      </w:pPr>
      <w:r>
        <w:rPr>
          <w:rFonts w:ascii="Times New Roman" w:hAnsi="Times New Roman" w:cs="Times New Roman"/>
          <w:b/>
          <w:sz w:val="24"/>
          <w:szCs w:val="24"/>
        </w:rPr>
        <w:t xml:space="preserve">5. </w:t>
      </w:r>
      <w:r w:rsidR="00554048" w:rsidRPr="00554048">
        <w:rPr>
          <w:rFonts w:ascii="Times New Roman" w:hAnsi="Times New Roman" w:cs="Times New Roman"/>
          <w:b/>
          <w:sz w:val="24"/>
          <w:szCs w:val="24"/>
        </w:rPr>
        <w:t xml:space="preserve">The </w:t>
      </w:r>
      <w:r>
        <w:rPr>
          <w:rFonts w:ascii="Times New Roman" w:hAnsi="Times New Roman" w:cs="Times New Roman"/>
          <w:b/>
          <w:sz w:val="24"/>
          <w:szCs w:val="24"/>
        </w:rPr>
        <w:t xml:space="preserve">Case of </w:t>
      </w:r>
      <w:r w:rsidR="00554048" w:rsidRPr="00554048">
        <w:rPr>
          <w:rFonts w:ascii="Times New Roman" w:hAnsi="Times New Roman" w:cs="Times New Roman"/>
          <w:b/>
          <w:sz w:val="24"/>
          <w:szCs w:val="24"/>
        </w:rPr>
        <w:t>Scotland</w:t>
      </w:r>
    </w:p>
    <w:p w:rsidR="00554048" w:rsidRDefault="00554048">
      <w:pPr>
        <w:rPr>
          <w:rFonts w:ascii="Times New Roman" w:hAnsi="Times New Roman" w:cs="Times New Roman"/>
          <w:sz w:val="24"/>
          <w:szCs w:val="24"/>
        </w:rPr>
      </w:pPr>
      <w:r>
        <w:rPr>
          <w:rFonts w:ascii="Times New Roman" w:hAnsi="Times New Roman" w:cs="Times New Roman"/>
          <w:sz w:val="24"/>
          <w:szCs w:val="24"/>
        </w:rPr>
        <w:t>Next we examine the specifically Scottish data and consider what a similar boost to the dynamism and fairness of the Scottish economy and society could have delivered for her living standards over the period since 1970.</w:t>
      </w:r>
    </w:p>
    <w:p w:rsidR="00357187" w:rsidRDefault="00554048">
      <w:pPr>
        <w:rPr>
          <w:rFonts w:ascii="Times New Roman" w:hAnsi="Times New Roman" w:cs="Times New Roman"/>
          <w:sz w:val="24"/>
          <w:szCs w:val="24"/>
        </w:rPr>
      </w:pPr>
      <w:r>
        <w:rPr>
          <w:rFonts w:ascii="Times New Roman" w:hAnsi="Times New Roman" w:cs="Times New Roman"/>
          <w:sz w:val="24"/>
          <w:szCs w:val="24"/>
        </w:rPr>
        <w:t xml:space="preserve">From Table </w:t>
      </w:r>
      <w:r w:rsidR="00357187">
        <w:rPr>
          <w:rFonts w:ascii="Times New Roman" w:hAnsi="Times New Roman" w:cs="Times New Roman"/>
          <w:sz w:val="24"/>
          <w:szCs w:val="24"/>
        </w:rPr>
        <w:t xml:space="preserve">3, we calculate </w:t>
      </w:r>
      <w:r w:rsidR="00285EE4">
        <w:rPr>
          <w:rFonts w:ascii="Times New Roman" w:hAnsi="Times New Roman" w:cs="Times New Roman"/>
          <w:sz w:val="24"/>
          <w:szCs w:val="24"/>
        </w:rPr>
        <w:t xml:space="preserve">that </w:t>
      </w:r>
      <w:r w:rsidR="004A4C7C">
        <w:rPr>
          <w:rFonts w:ascii="Times New Roman" w:hAnsi="Times New Roman" w:cs="Times New Roman"/>
          <w:sz w:val="24"/>
          <w:szCs w:val="24"/>
        </w:rPr>
        <w:t xml:space="preserve">Scotland’s </w:t>
      </w:r>
      <w:r w:rsidR="00357187">
        <w:rPr>
          <w:rFonts w:ascii="Times New Roman" w:hAnsi="Times New Roman" w:cs="Times New Roman"/>
          <w:sz w:val="24"/>
          <w:szCs w:val="24"/>
        </w:rPr>
        <w:t xml:space="preserve">average annual </w:t>
      </w:r>
      <w:r w:rsidR="00285EE4">
        <w:rPr>
          <w:rFonts w:ascii="Times New Roman" w:hAnsi="Times New Roman" w:cs="Times New Roman"/>
          <w:sz w:val="24"/>
          <w:szCs w:val="24"/>
        </w:rPr>
        <w:t xml:space="preserve">real </w:t>
      </w:r>
      <w:r w:rsidR="00357187">
        <w:rPr>
          <w:rFonts w:ascii="Times New Roman" w:hAnsi="Times New Roman" w:cs="Times New Roman"/>
          <w:sz w:val="24"/>
          <w:szCs w:val="24"/>
        </w:rPr>
        <w:t>growth</w:t>
      </w:r>
      <w:r w:rsidR="004E55AD">
        <w:rPr>
          <w:rFonts w:ascii="Times New Roman" w:hAnsi="Times New Roman" w:cs="Times New Roman"/>
          <w:sz w:val="24"/>
          <w:szCs w:val="24"/>
        </w:rPr>
        <w:t xml:space="preserve"> rate</w:t>
      </w:r>
      <w:r w:rsidR="004A4C7C">
        <w:rPr>
          <w:rFonts w:ascii="Times New Roman" w:hAnsi="Times New Roman" w:cs="Times New Roman"/>
          <w:sz w:val="24"/>
          <w:szCs w:val="24"/>
        </w:rPr>
        <w:t>,</w:t>
      </w:r>
      <w:r w:rsidR="00285EE4">
        <w:rPr>
          <w:rFonts w:ascii="Times New Roman" w:hAnsi="Times New Roman" w:cs="Times New Roman"/>
          <w:sz w:val="24"/>
          <w:szCs w:val="24"/>
        </w:rPr>
        <w:t xml:space="preserve"> 1970 </w:t>
      </w:r>
      <w:r w:rsidR="004A4C7C">
        <w:rPr>
          <w:rFonts w:ascii="Times New Roman" w:hAnsi="Times New Roman" w:cs="Times New Roman"/>
          <w:sz w:val="24"/>
          <w:szCs w:val="24"/>
        </w:rPr>
        <w:t>–</w:t>
      </w:r>
      <w:r w:rsidR="00285EE4">
        <w:rPr>
          <w:rFonts w:ascii="Times New Roman" w:hAnsi="Times New Roman" w:cs="Times New Roman"/>
          <w:sz w:val="24"/>
          <w:szCs w:val="24"/>
        </w:rPr>
        <w:t xml:space="preserve"> 2013</w:t>
      </w:r>
      <w:r w:rsidR="004A4C7C">
        <w:rPr>
          <w:rFonts w:ascii="Times New Roman" w:hAnsi="Times New Roman" w:cs="Times New Roman"/>
          <w:sz w:val="24"/>
          <w:szCs w:val="24"/>
        </w:rPr>
        <w:t>,</w:t>
      </w:r>
      <w:r w:rsidR="00357187">
        <w:rPr>
          <w:rFonts w:ascii="Times New Roman" w:hAnsi="Times New Roman" w:cs="Times New Roman"/>
          <w:sz w:val="24"/>
          <w:szCs w:val="24"/>
        </w:rPr>
        <w:t xml:space="preserve"> </w:t>
      </w:r>
      <w:r w:rsidR="00285EE4">
        <w:rPr>
          <w:rFonts w:ascii="Times New Roman" w:hAnsi="Times New Roman" w:cs="Times New Roman"/>
          <w:sz w:val="24"/>
          <w:szCs w:val="24"/>
        </w:rPr>
        <w:t>w</w:t>
      </w:r>
      <w:r w:rsidR="00357187">
        <w:rPr>
          <w:rFonts w:ascii="Times New Roman" w:hAnsi="Times New Roman" w:cs="Times New Roman"/>
          <w:sz w:val="24"/>
          <w:szCs w:val="24"/>
        </w:rPr>
        <w:t xml:space="preserve">as 2.1%. </w:t>
      </w:r>
      <w:r w:rsidR="004A4C7C">
        <w:rPr>
          <w:rFonts w:ascii="Times New Roman" w:hAnsi="Times New Roman" w:cs="Times New Roman"/>
          <w:sz w:val="24"/>
          <w:szCs w:val="24"/>
        </w:rPr>
        <w:t>T</w:t>
      </w:r>
      <w:r w:rsidR="004E55AD">
        <w:rPr>
          <w:rFonts w:ascii="Times New Roman" w:hAnsi="Times New Roman" w:cs="Times New Roman"/>
          <w:sz w:val="24"/>
          <w:szCs w:val="24"/>
        </w:rPr>
        <w:t>he U</w:t>
      </w:r>
      <w:r w:rsidR="00285EE4">
        <w:rPr>
          <w:rFonts w:ascii="Times New Roman" w:hAnsi="Times New Roman" w:cs="Times New Roman"/>
          <w:sz w:val="24"/>
          <w:szCs w:val="24"/>
        </w:rPr>
        <w:t xml:space="preserve">nited </w:t>
      </w:r>
      <w:r w:rsidR="004E55AD">
        <w:rPr>
          <w:rFonts w:ascii="Times New Roman" w:hAnsi="Times New Roman" w:cs="Times New Roman"/>
          <w:sz w:val="24"/>
          <w:szCs w:val="24"/>
        </w:rPr>
        <w:t>K</w:t>
      </w:r>
      <w:r w:rsidR="00285EE4">
        <w:rPr>
          <w:rFonts w:ascii="Times New Roman" w:hAnsi="Times New Roman" w:cs="Times New Roman"/>
          <w:sz w:val="24"/>
          <w:szCs w:val="24"/>
        </w:rPr>
        <w:t>ingdom</w:t>
      </w:r>
      <w:r w:rsidR="004E55AD">
        <w:rPr>
          <w:rFonts w:ascii="Times New Roman" w:hAnsi="Times New Roman" w:cs="Times New Roman"/>
          <w:sz w:val="24"/>
          <w:szCs w:val="24"/>
        </w:rPr>
        <w:t xml:space="preserve"> average growth </w:t>
      </w:r>
      <w:r w:rsidR="00357187">
        <w:rPr>
          <w:rFonts w:ascii="Times New Roman" w:hAnsi="Times New Roman" w:cs="Times New Roman"/>
          <w:sz w:val="24"/>
          <w:szCs w:val="24"/>
        </w:rPr>
        <w:t xml:space="preserve">rate </w:t>
      </w:r>
      <w:r w:rsidR="004E55AD">
        <w:rPr>
          <w:rFonts w:ascii="Times New Roman" w:hAnsi="Times New Roman" w:cs="Times New Roman"/>
          <w:sz w:val="24"/>
          <w:szCs w:val="24"/>
        </w:rPr>
        <w:t>over the same period was</w:t>
      </w:r>
      <w:r w:rsidR="00357187">
        <w:rPr>
          <w:rFonts w:ascii="Times New Roman" w:hAnsi="Times New Roman" w:cs="Times New Roman"/>
          <w:sz w:val="24"/>
          <w:szCs w:val="24"/>
        </w:rPr>
        <w:t xml:space="preserve"> </w:t>
      </w:r>
      <w:r w:rsidR="005814E8">
        <w:rPr>
          <w:rFonts w:ascii="Times New Roman" w:hAnsi="Times New Roman" w:cs="Times New Roman"/>
          <w:sz w:val="24"/>
          <w:szCs w:val="24"/>
        </w:rPr>
        <w:t>2.52%</w:t>
      </w:r>
      <w:r w:rsidR="00285EE4">
        <w:rPr>
          <w:rFonts w:ascii="Times New Roman" w:hAnsi="Times New Roman" w:cs="Times New Roman"/>
          <w:sz w:val="24"/>
          <w:szCs w:val="24"/>
        </w:rPr>
        <w:t xml:space="preserve"> (a figure </w:t>
      </w:r>
      <w:r w:rsidR="004A4C7C">
        <w:rPr>
          <w:rFonts w:ascii="Times New Roman" w:hAnsi="Times New Roman" w:cs="Times New Roman"/>
          <w:sz w:val="24"/>
          <w:szCs w:val="24"/>
        </w:rPr>
        <w:t xml:space="preserve">somewhat </w:t>
      </w:r>
      <w:r w:rsidR="00285EE4">
        <w:rPr>
          <w:rFonts w:ascii="Times New Roman" w:hAnsi="Times New Roman" w:cs="Times New Roman"/>
          <w:sz w:val="24"/>
          <w:szCs w:val="24"/>
        </w:rPr>
        <w:t>d</w:t>
      </w:r>
      <w:r w:rsidR="004A4C7C">
        <w:rPr>
          <w:rFonts w:ascii="Times New Roman" w:hAnsi="Times New Roman" w:cs="Times New Roman"/>
          <w:sz w:val="24"/>
          <w:szCs w:val="24"/>
        </w:rPr>
        <w:t xml:space="preserve">epressed </w:t>
      </w:r>
      <w:r w:rsidR="00285EE4">
        <w:rPr>
          <w:rFonts w:ascii="Times New Roman" w:hAnsi="Times New Roman" w:cs="Times New Roman"/>
          <w:sz w:val="24"/>
          <w:szCs w:val="24"/>
        </w:rPr>
        <w:t>by Scotland’s poorer growth rate)</w:t>
      </w:r>
      <w:r w:rsidR="005814E8">
        <w:rPr>
          <w:rFonts w:ascii="Times New Roman" w:hAnsi="Times New Roman" w:cs="Times New Roman"/>
          <w:sz w:val="24"/>
          <w:szCs w:val="24"/>
        </w:rPr>
        <w:t>.</w:t>
      </w:r>
      <w:r w:rsidR="00357187">
        <w:rPr>
          <w:rFonts w:ascii="Times New Roman" w:hAnsi="Times New Roman" w:cs="Times New Roman"/>
          <w:sz w:val="24"/>
          <w:szCs w:val="24"/>
        </w:rPr>
        <w:t xml:space="preserve"> </w:t>
      </w:r>
    </w:p>
    <w:p w:rsidR="00ED5D0F" w:rsidRDefault="00ED5D0F">
      <w:pPr>
        <w:rPr>
          <w:rFonts w:ascii="Times New Roman" w:hAnsi="Times New Roman" w:cs="Times New Roman"/>
          <w:sz w:val="24"/>
          <w:szCs w:val="24"/>
        </w:rPr>
      </w:pPr>
      <w:r>
        <w:rPr>
          <w:rFonts w:ascii="Times New Roman" w:hAnsi="Times New Roman" w:cs="Times New Roman"/>
          <w:sz w:val="24"/>
          <w:szCs w:val="24"/>
        </w:rPr>
        <w:t xml:space="preserve">If, as we hypothesised for the UK, the removal of deadweight taxes and their replacement with land rents as state revenue can reasonably, indeed conservatively, have been </w:t>
      </w:r>
      <w:r w:rsidR="00285EE4">
        <w:rPr>
          <w:rFonts w:ascii="Times New Roman" w:hAnsi="Times New Roman" w:cs="Times New Roman"/>
          <w:sz w:val="24"/>
          <w:szCs w:val="24"/>
        </w:rPr>
        <w:t xml:space="preserve">expected </w:t>
      </w:r>
      <w:r>
        <w:rPr>
          <w:rFonts w:ascii="Times New Roman" w:hAnsi="Times New Roman" w:cs="Times New Roman"/>
          <w:sz w:val="24"/>
          <w:szCs w:val="24"/>
        </w:rPr>
        <w:t>to add two percentage points to Scotland’s average growth rate over this period, there would have been a massive boost to living standards today compared to the actuality.</w:t>
      </w:r>
    </w:p>
    <w:p w:rsidR="00ED5D0F" w:rsidRPr="00B7528A" w:rsidRDefault="00ED5D0F">
      <w:pPr>
        <w:rPr>
          <w:rFonts w:ascii="Times New Roman" w:hAnsi="Times New Roman" w:cs="Times New Roman"/>
          <w:b/>
          <w:sz w:val="24"/>
          <w:szCs w:val="24"/>
        </w:rPr>
      </w:pPr>
      <w:r w:rsidRPr="00B7528A">
        <w:rPr>
          <w:rFonts w:ascii="Times New Roman" w:hAnsi="Times New Roman" w:cs="Times New Roman"/>
          <w:b/>
          <w:sz w:val="24"/>
          <w:szCs w:val="24"/>
        </w:rPr>
        <w:t>In 1970 the average per capita income in Scotland was £9,166 (in 2011 prices). In 2013, this had incr</w:t>
      </w:r>
      <w:r w:rsidR="004A4C7C" w:rsidRPr="00B7528A">
        <w:rPr>
          <w:rFonts w:ascii="Times New Roman" w:hAnsi="Times New Roman" w:cs="Times New Roman"/>
          <w:b/>
          <w:sz w:val="24"/>
          <w:szCs w:val="24"/>
        </w:rPr>
        <w:t xml:space="preserve">eased by </w:t>
      </w:r>
      <w:r w:rsidR="004A4C7C" w:rsidRPr="00B7528A">
        <w:rPr>
          <w:rFonts w:ascii="Times New Roman" w:hAnsi="Times New Roman" w:cs="Times New Roman"/>
          <w:b/>
          <w:sz w:val="24"/>
          <w:szCs w:val="24"/>
          <w:highlight w:val="yellow"/>
        </w:rPr>
        <w:t>133 percent</w:t>
      </w:r>
      <w:r w:rsidR="004A4C7C" w:rsidRPr="00B7528A">
        <w:rPr>
          <w:rFonts w:ascii="Times New Roman" w:hAnsi="Times New Roman" w:cs="Times New Roman"/>
          <w:b/>
          <w:sz w:val="24"/>
          <w:szCs w:val="24"/>
        </w:rPr>
        <w:t xml:space="preserve"> to £21,378, an increase of £12,212</w:t>
      </w:r>
      <w:r w:rsidR="00B7528A">
        <w:rPr>
          <w:rFonts w:ascii="Times New Roman" w:hAnsi="Times New Roman" w:cs="Times New Roman"/>
          <w:b/>
          <w:sz w:val="24"/>
          <w:szCs w:val="24"/>
        </w:rPr>
        <w:t xml:space="preserve"> per person</w:t>
      </w:r>
      <w:r w:rsidR="004A4C7C" w:rsidRPr="00B7528A">
        <w:rPr>
          <w:rFonts w:ascii="Times New Roman" w:hAnsi="Times New Roman" w:cs="Times New Roman"/>
          <w:b/>
          <w:sz w:val="24"/>
          <w:szCs w:val="24"/>
        </w:rPr>
        <w:t>.</w:t>
      </w:r>
    </w:p>
    <w:p w:rsidR="0007246F" w:rsidRPr="00B7528A" w:rsidRDefault="00ED5D0F">
      <w:pPr>
        <w:rPr>
          <w:rFonts w:ascii="Times New Roman" w:hAnsi="Times New Roman" w:cs="Times New Roman"/>
          <w:b/>
          <w:sz w:val="24"/>
          <w:szCs w:val="24"/>
        </w:rPr>
      </w:pPr>
      <w:r w:rsidRPr="00B7528A">
        <w:rPr>
          <w:rFonts w:ascii="Times New Roman" w:hAnsi="Times New Roman" w:cs="Times New Roman"/>
          <w:b/>
          <w:sz w:val="24"/>
          <w:szCs w:val="24"/>
        </w:rPr>
        <w:t xml:space="preserve">Had Scotland’s average annual growth rate been 4.1% over this period, the 2013 average income </w:t>
      </w:r>
      <w:r w:rsidRPr="00B7528A">
        <w:rPr>
          <w:rFonts w:ascii="Times New Roman" w:hAnsi="Times New Roman" w:cs="Times New Roman"/>
          <w:b/>
          <w:i/>
          <w:sz w:val="24"/>
          <w:szCs w:val="24"/>
        </w:rPr>
        <w:t xml:space="preserve">would have been </w:t>
      </w:r>
      <w:r w:rsidR="0007246F" w:rsidRPr="00B7528A">
        <w:rPr>
          <w:rFonts w:ascii="Times New Roman" w:hAnsi="Times New Roman" w:cs="Times New Roman"/>
          <w:b/>
          <w:i/>
          <w:sz w:val="24"/>
          <w:szCs w:val="24"/>
        </w:rPr>
        <w:t xml:space="preserve">not 133 percent but </w:t>
      </w:r>
      <w:r w:rsidR="0007246F" w:rsidRPr="00B7528A">
        <w:rPr>
          <w:rFonts w:ascii="Times New Roman" w:hAnsi="Times New Roman" w:cs="Times New Roman"/>
          <w:b/>
          <w:i/>
          <w:sz w:val="24"/>
          <w:szCs w:val="24"/>
          <w:highlight w:val="yellow"/>
        </w:rPr>
        <w:t>463 percent</w:t>
      </w:r>
      <w:r w:rsidR="0007246F" w:rsidRPr="00B7528A">
        <w:rPr>
          <w:rFonts w:ascii="Times New Roman" w:hAnsi="Times New Roman" w:cs="Times New Roman"/>
          <w:b/>
          <w:i/>
          <w:sz w:val="24"/>
          <w:szCs w:val="24"/>
        </w:rPr>
        <w:t xml:space="preserve"> </w:t>
      </w:r>
      <w:r w:rsidRPr="00B7528A">
        <w:rPr>
          <w:rFonts w:ascii="Times New Roman" w:hAnsi="Times New Roman" w:cs="Times New Roman"/>
          <w:b/>
          <w:i/>
          <w:sz w:val="24"/>
          <w:szCs w:val="24"/>
        </w:rPr>
        <w:t>higher at £</w:t>
      </w:r>
      <w:r w:rsidR="00BB4E01" w:rsidRPr="00B7528A">
        <w:rPr>
          <w:rFonts w:ascii="Times New Roman" w:hAnsi="Times New Roman" w:cs="Times New Roman"/>
          <w:b/>
          <w:i/>
          <w:sz w:val="24"/>
          <w:szCs w:val="24"/>
        </w:rPr>
        <w:t>51</w:t>
      </w:r>
      <w:r w:rsidR="0007246F" w:rsidRPr="00B7528A">
        <w:rPr>
          <w:rFonts w:ascii="Times New Roman" w:hAnsi="Times New Roman" w:cs="Times New Roman"/>
          <w:b/>
          <w:i/>
          <w:sz w:val="24"/>
          <w:szCs w:val="24"/>
        </w:rPr>
        <w:t>,</w:t>
      </w:r>
      <w:r w:rsidR="00BB4E01" w:rsidRPr="00B7528A">
        <w:rPr>
          <w:rFonts w:ascii="Times New Roman" w:hAnsi="Times New Roman" w:cs="Times New Roman"/>
          <w:b/>
          <w:i/>
          <w:sz w:val="24"/>
          <w:szCs w:val="24"/>
        </w:rPr>
        <w:t>589</w:t>
      </w:r>
      <w:r w:rsidR="00B7528A">
        <w:rPr>
          <w:rFonts w:ascii="Times New Roman" w:hAnsi="Times New Roman" w:cs="Times New Roman"/>
          <w:b/>
          <w:i/>
          <w:sz w:val="24"/>
          <w:szCs w:val="24"/>
        </w:rPr>
        <w:t xml:space="preserve">. </w:t>
      </w:r>
      <w:r w:rsidR="00B7528A" w:rsidRPr="00B7528A">
        <w:rPr>
          <w:rFonts w:ascii="Times New Roman" w:hAnsi="Times New Roman" w:cs="Times New Roman"/>
          <w:b/>
          <w:sz w:val="24"/>
          <w:szCs w:val="24"/>
        </w:rPr>
        <w:t>Th</w:t>
      </w:r>
      <w:r w:rsidR="00104D4C">
        <w:rPr>
          <w:rFonts w:ascii="Times New Roman" w:hAnsi="Times New Roman" w:cs="Times New Roman"/>
          <w:b/>
          <w:sz w:val="24"/>
          <w:szCs w:val="24"/>
        </w:rPr>
        <w:t xml:space="preserve">is is </w:t>
      </w:r>
      <w:r w:rsidR="0007246F" w:rsidRPr="00B7528A">
        <w:rPr>
          <w:rFonts w:ascii="Times New Roman" w:hAnsi="Times New Roman" w:cs="Times New Roman"/>
          <w:b/>
          <w:sz w:val="24"/>
          <w:szCs w:val="24"/>
        </w:rPr>
        <w:t>a</w:t>
      </w:r>
      <w:r w:rsidR="00104D4C">
        <w:rPr>
          <w:rFonts w:ascii="Times New Roman" w:hAnsi="Times New Roman" w:cs="Times New Roman"/>
          <w:b/>
          <w:sz w:val="24"/>
          <w:szCs w:val="24"/>
        </w:rPr>
        <w:t>n</w:t>
      </w:r>
      <w:r w:rsidR="004A4C7C" w:rsidRPr="00B7528A">
        <w:rPr>
          <w:rFonts w:ascii="Times New Roman" w:hAnsi="Times New Roman" w:cs="Times New Roman"/>
          <w:b/>
          <w:sz w:val="24"/>
          <w:szCs w:val="24"/>
        </w:rPr>
        <w:t xml:space="preserve"> increase of </w:t>
      </w:r>
      <w:r w:rsidR="0007246F" w:rsidRPr="00B7528A">
        <w:rPr>
          <w:rFonts w:ascii="Times New Roman" w:hAnsi="Times New Roman" w:cs="Times New Roman"/>
          <w:b/>
          <w:sz w:val="24"/>
          <w:szCs w:val="24"/>
        </w:rPr>
        <w:t>£30,211 per person</w:t>
      </w:r>
      <w:r w:rsidR="00BB4E01" w:rsidRPr="00B7528A">
        <w:rPr>
          <w:rFonts w:ascii="Times New Roman" w:hAnsi="Times New Roman" w:cs="Times New Roman"/>
          <w:b/>
          <w:sz w:val="24"/>
          <w:szCs w:val="24"/>
        </w:rPr>
        <w:t xml:space="preserve">. </w:t>
      </w:r>
    </w:p>
    <w:p w:rsidR="00ED5D0F" w:rsidRDefault="00BB4E01">
      <w:pPr>
        <w:rPr>
          <w:rFonts w:ascii="Times New Roman" w:hAnsi="Times New Roman" w:cs="Times New Roman"/>
          <w:sz w:val="24"/>
          <w:szCs w:val="24"/>
        </w:rPr>
      </w:pPr>
      <w:r>
        <w:rPr>
          <w:rFonts w:ascii="Times New Roman" w:hAnsi="Times New Roman" w:cs="Times New Roman"/>
          <w:sz w:val="24"/>
          <w:szCs w:val="24"/>
        </w:rPr>
        <w:t xml:space="preserve">Once again, </w:t>
      </w:r>
      <w:r w:rsidR="0007246F">
        <w:rPr>
          <w:rFonts w:ascii="Times New Roman" w:hAnsi="Times New Roman" w:cs="Times New Roman"/>
          <w:sz w:val="24"/>
          <w:szCs w:val="24"/>
        </w:rPr>
        <w:t xml:space="preserve">this demonstrates </w:t>
      </w:r>
      <w:r>
        <w:rPr>
          <w:rFonts w:ascii="Times New Roman" w:hAnsi="Times New Roman" w:cs="Times New Roman"/>
          <w:sz w:val="24"/>
          <w:szCs w:val="24"/>
        </w:rPr>
        <w:t>the power of compound interest</w:t>
      </w:r>
      <w:r w:rsidR="0007246F">
        <w:rPr>
          <w:rFonts w:ascii="Times New Roman" w:hAnsi="Times New Roman" w:cs="Times New Roman"/>
          <w:sz w:val="24"/>
          <w:szCs w:val="24"/>
        </w:rPr>
        <w:t xml:space="preserve"> and justifies great efforts to overcome the </w:t>
      </w:r>
      <w:r w:rsidR="00285EE4">
        <w:rPr>
          <w:rFonts w:ascii="Times New Roman" w:hAnsi="Times New Roman" w:cs="Times New Roman"/>
          <w:sz w:val="24"/>
          <w:szCs w:val="24"/>
        </w:rPr>
        <w:t xml:space="preserve">opposing </w:t>
      </w:r>
      <w:r w:rsidR="0007246F">
        <w:rPr>
          <w:rFonts w:ascii="Times New Roman" w:hAnsi="Times New Roman" w:cs="Times New Roman"/>
          <w:sz w:val="24"/>
          <w:szCs w:val="24"/>
        </w:rPr>
        <w:t>power of vested interest</w:t>
      </w:r>
      <w:r w:rsidR="00C830BD">
        <w:rPr>
          <w:rFonts w:ascii="Times New Roman" w:hAnsi="Times New Roman" w:cs="Times New Roman"/>
          <w:sz w:val="24"/>
          <w:szCs w:val="24"/>
        </w:rPr>
        <w:t xml:space="preserve"> </w:t>
      </w:r>
      <w:r w:rsidR="00285EE4">
        <w:rPr>
          <w:rFonts w:ascii="Times New Roman" w:hAnsi="Times New Roman" w:cs="Times New Roman"/>
          <w:sz w:val="24"/>
          <w:szCs w:val="24"/>
        </w:rPr>
        <w:t xml:space="preserve">by </w:t>
      </w:r>
      <w:r w:rsidR="00C830BD">
        <w:rPr>
          <w:rFonts w:ascii="Times New Roman" w:hAnsi="Times New Roman" w:cs="Times New Roman"/>
          <w:sz w:val="24"/>
          <w:szCs w:val="24"/>
        </w:rPr>
        <w:t>explaining to the people and their politicians the root causes of inequality</w:t>
      </w:r>
      <w:r w:rsidR="00285EE4">
        <w:rPr>
          <w:rFonts w:ascii="Times New Roman" w:hAnsi="Times New Roman" w:cs="Times New Roman"/>
          <w:sz w:val="24"/>
          <w:szCs w:val="24"/>
        </w:rPr>
        <w:t xml:space="preserve"> and low living standards</w:t>
      </w:r>
      <w:r w:rsidR="00C830BD">
        <w:rPr>
          <w:rFonts w:ascii="Times New Roman" w:hAnsi="Times New Roman" w:cs="Times New Roman"/>
          <w:sz w:val="24"/>
          <w:szCs w:val="24"/>
        </w:rPr>
        <w:t xml:space="preserve">. </w:t>
      </w:r>
      <w:r w:rsidR="00285EE4">
        <w:rPr>
          <w:rFonts w:ascii="Times New Roman" w:hAnsi="Times New Roman" w:cs="Times New Roman"/>
          <w:sz w:val="24"/>
          <w:szCs w:val="24"/>
        </w:rPr>
        <w:t xml:space="preserve">Change does not come automatically </w:t>
      </w:r>
      <w:r w:rsidR="0007246F">
        <w:rPr>
          <w:rFonts w:ascii="Times New Roman" w:hAnsi="Times New Roman" w:cs="Times New Roman"/>
          <w:sz w:val="24"/>
          <w:szCs w:val="24"/>
        </w:rPr>
        <w:t xml:space="preserve">from arithmetic but from </w:t>
      </w:r>
      <w:r>
        <w:rPr>
          <w:rFonts w:ascii="Times New Roman" w:hAnsi="Times New Roman" w:cs="Times New Roman"/>
          <w:sz w:val="24"/>
          <w:szCs w:val="24"/>
        </w:rPr>
        <w:t xml:space="preserve">the cumulative rewards that a truly radical fiscal system could have delivered by removing the </w:t>
      </w:r>
      <w:r w:rsidR="0007246F">
        <w:rPr>
          <w:rFonts w:ascii="Times New Roman" w:hAnsi="Times New Roman" w:cs="Times New Roman"/>
          <w:sz w:val="24"/>
          <w:szCs w:val="24"/>
        </w:rPr>
        <w:t xml:space="preserve">burden </w:t>
      </w:r>
      <w:r>
        <w:rPr>
          <w:rFonts w:ascii="Times New Roman" w:hAnsi="Times New Roman" w:cs="Times New Roman"/>
          <w:sz w:val="24"/>
          <w:szCs w:val="24"/>
        </w:rPr>
        <w:t>of deadweight taxation.</w:t>
      </w:r>
      <w:r w:rsidR="0007246F">
        <w:rPr>
          <w:rFonts w:ascii="Times New Roman" w:hAnsi="Times New Roman" w:cs="Times New Roman"/>
          <w:sz w:val="24"/>
          <w:szCs w:val="24"/>
        </w:rPr>
        <w:t xml:space="preserve">  </w:t>
      </w:r>
    </w:p>
    <w:p w:rsidR="004E55AD" w:rsidRDefault="004E55AD">
      <w:pPr>
        <w:rPr>
          <w:rFonts w:ascii="Times New Roman" w:hAnsi="Times New Roman" w:cs="Times New Roman"/>
          <w:sz w:val="24"/>
          <w:szCs w:val="24"/>
        </w:rPr>
      </w:pPr>
    </w:p>
    <w:tbl>
      <w:tblPr>
        <w:tblW w:w="8946" w:type="dxa"/>
        <w:tblInd w:w="93" w:type="dxa"/>
        <w:tblLayout w:type="fixed"/>
        <w:tblLook w:val="04A0" w:firstRow="1" w:lastRow="0" w:firstColumn="1" w:lastColumn="0" w:noHBand="0" w:noVBand="1"/>
      </w:tblPr>
      <w:tblGrid>
        <w:gridCol w:w="582"/>
        <w:gridCol w:w="851"/>
        <w:gridCol w:w="2126"/>
        <w:gridCol w:w="992"/>
        <w:gridCol w:w="993"/>
        <w:gridCol w:w="1134"/>
        <w:gridCol w:w="1275"/>
        <w:gridCol w:w="993"/>
      </w:tblGrid>
      <w:tr w:rsidR="00357187" w:rsidRPr="00DA38CA" w:rsidTr="00357187">
        <w:trPr>
          <w:trHeight w:val="555"/>
        </w:trPr>
        <w:tc>
          <w:tcPr>
            <w:tcW w:w="3559" w:type="dxa"/>
            <w:gridSpan w:val="3"/>
            <w:tcBorders>
              <w:top w:val="nil"/>
              <w:left w:val="nil"/>
              <w:bottom w:val="nil"/>
              <w:right w:val="nil"/>
            </w:tcBorders>
            <w:shd w:val="clear" w:color="000000" w:fill="FFFFFF"/>
            <w:noWrap/>
            <w:hideMark/>
          </w:tcPr>
          <w:p w:rsidR="00357187" w:rsidRPr="003956DB" w:rsidRDefault="00357187" w:rsidP="00357187">
            <w:pPr>
              <w:spacing w:after="0" w:line="240" w:lineRule="auto"/>
              <w:jc w:val="center"/>
              <w:rPr>
                <w:rFonts w:asciiTheme="majorHAnsi" w:eastAsia="Times New Roman" w:hAnsiTheme="majorHAnsi" w:cs="Arial"/>
                <w:b/>
                <w:bCs/>
                <w:sz w:val="16"/>
                <w:szCs w:val="16"/>
                <w:lang w:eastAsia="en-GB"/>
              </w:rPr>
            </w:pPr>
            <w:r>
              <w:rPr>
                <w:rFonts w:ascii="Times New Roman" w:hAnsi="Times New Roman" w:cs="Times New Roman"/>
                <w:sz w:val="24"/>
                <w:szCs w:val="24"/>
              </w:rPr>
              <w:lastRenderedPageBreak/>
              <w:br w:type="page"/>
            </w:r>
            <w:r w:rsidRPr="003956DB">
              <w:rPr>
                <w:rFonts w:asciiTheme="majorHAnsi" w:hAnsiTheme="majorHAnsi" w:cs="Arial"/>
                <w:sz w:val="16"/>
                <w:szCs w:val="16"/>
              </w:rPr>
              <w:br w:type="page"/>
            </w:r>
          </w:p>
          <w:p w:rsidR="00357187" w:rsidRPr="003956DB" w:rsidRDefault="00285EE4" w:rsidP="00357187">
            <w:pPr>
              <w:spacing w:after="0" w:line="240" w:lineRule="auto"/>
              <w:jc w:val="center"/>
              <w:rPr>
                <w:rFonts w:asciiTheme="majorHAnsi" w:eastAsia="Times New Roman" w:hAnsiTheme="majorHAnsi" w:cs="Arial"/>
                <w:b/>
                <w:bCs/>
                <w:sz w:val="16"/>
                <w:szCs w:val="16"/>
                <w:lang w:eastAsia="en-GB"/>
              </w:rPr>
            </w:pPr>
            <w:r>
              <w:rPr>
                <w:rFonts w:asciiTheme="majorHAnsi" w:eastAsia="Times New Roman" w:hAnsiTheme="majorHAnsi" w:cs="Arial"/>
                <w:b/>
                <w:bCs/>
                <w:sz w:val="16"/>
                <w:szCs w:val="16"/>
                <w:lang w:eastAsia="en-GB"/>
              </w:rPr>
              <w:t xml:space="preserve">Table 3: </w:t>
            </w:r>
            <w:r w:rsidR="00357187" w:rsidRPr="003956DB">
              <w:rPr>
                <w:rFonts w:asciiTheme="majorHAnsi" w:eastAsia="Times New Roman" w:hAnsiTheme="majorHAnsi" w:cs="Arial"/>
                <w:b/>
                <w:bCs/>
                <w:sz w:val="16"/>
                <w:szCs w:val="16"/>
                <w:lang w:eastAsia="en-GB"/>
              </w:rPr>
              <w:t xml:space="preserve">Scotland: Gross Value Added, </w:t>
            </w:r>
          </w:p>
          <w:p w:rsidR="00357187" w:rsidRPr="003956DB" w:rsidRDefault="00357187" w:rsidP="00357187">
            <w:pPr>
              <w:spacing w:after="0" w:line="240" w:lineRule="auto"/>
              <w:jc w:val="center"/>
              <w:rPr>
                <w:rFonts w:asciiTheme="majorHAnsi" w:eastAsia="Times New Roman" w:hAnsiTheme="majorHAnsi" w:cs="Arial"/>
                <w:bCs/>
                <w:sz w:val="16"/>
                <w:szCs w:val="16"/>
                <w:lang w:eastAsia="en-GB"/>
              </w:rPr>
            </w:pPr>
            <w:r w:rsidRPr="003956DB">
              <w:rPr>
                <w:rFonts w:asciiTheme="majorHAnsi" w:eastAsia="Times New Roman" w:hAnsiTheme="majorHAnsi" w:cs="Arial"/>
                <w:b/>
                <w:bCs/>
                <w:sz w:val="16"/>
                <w:szCs w:val="16"/>
                <w:lang w:eastAsia="en-GB"/>
              </w:rPr>
              <w:t xml:space="preserve">1963-2013   </w:t>
            </w:r>
            <w:r w:rsidRPr="003956DB">
              <w:rPr>
                <w:rFonts w:asciiTheme="majorHAnsi" w:eastAsia="Times New Roman" w:hAnsiTheme="majorHAnsi" w:cs="Arial"/>
                <w:bCs/>
                <w:sz w:val="16"/>
                <w:szCs w:val="16"/>
                <w:lang w:eastAsia="en-GB"/>
              </w:rPr>
              <w:t>(2011=100)</w:t>
            </w:r>
          </w:p>
          <w:p w:rsidR="00357187" w:rsidRPr="003956DB" w:rsidRDefault="00357187" w:rsidP="00357187">
            <w:pPr>
              <w:spacing w:after="0" w:line="240" w:lineRule="auto"/>
              <w:jc w:val="center"/>
              <w:rPr>
                <w:rFonts w:asciiTheme="majorHAnsi" w:eastAsia="Times New Roman" w:hAnsiTheme="majorHAnsi" w:cs="Arial"/>
                <w:bCs/>
                <w:sz w:val="16"/>
                <w:szCs w:val="16"/>
                <w:lang w:eastAsia="en-GB"/>
              </w:rPr>
            </w:pPr>
            <w:r w:rsidRPr="003956DB">
              <w:rPr>
                <w:rFonts w:asciiTheme="majorHAnsi" w:eastAsia="Times New Roman" w:hAnsiTheme="majorHAnsi" w:cs="Arial"/>
                <w:bCs/>
                <w:sz w:val="16"/>
                <w:szCs w:val="16"/>
                <w:lang w:eastAsia="en-GB"/>
              </w:rPr>
              <w:t>chained volume measure at basic prices</w:t>
            </w:r>
            <w:r w:rsidRPr="003956DB">
              <w:rPr>
                <w:rFonts w:asciiTheme="majorHAnsi" w:eastAsia="Times New Roman" w:hAnsiTheme="majorHAnsi" w:cs="Arial"/>
                <w:bCs/>
                <w:color w:val="FF0000"/>
                <w:sz w:val="16"/>
                <w:szCs w:val="16"/>
                <w:vertAlign w:val="superscript"/>
                <w:lang w:eastAsia="en-GB"/>
              </w:rPr>
              <w:t>1</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Annual real growth</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Current GVA</w:t>
            </w:r>
          </w:p>
          <w:p w:rsidR="00357187" w:rsidRPr="003956DB" w:rsidRDefault="00357187" w:rsidP="00357187">
            <w:pPr>
              <w:spacing w:after="0" w:line="240" w:lineRule="auto"/>
              <w:jc w:val="center"/>
              <w:rPr>
                <w:rFonts w:asciiTheme="majorHAnsi" w:eastAsia="Times New Roman" w:hAnsiTheme="majorHAnsi" w:cs="Arial"/>
                <w:color w:val="FF0000"/>
                <w:sz w:val="16"/>
                <w:szCs w:val="16"/>
                <w:lang w:eastAsia="en-GB"/>
              </w:rPr>
            </w:pPr>
            <w:r w:rsidRPr="003956DB">
              <w:rPr>
                <w:rFonts w:asciiTheme="majorHAnsi" w:eastAsia="Times New Roman" w:hAnsiTheme="majorHAnsi" w:cs="Arial"/>
                <w:sz w:val="16"/>
                <w:szCs w:val="16"/>
                <w:lang w:eastAsia="en-GB"/>
              </w:rPr>
              <w:t>£m</w:t>
            </w:r>
            <w:r w:rsidRPr="003956DB">
              <w:rPr>
                <w:rFonts w:asciiTheme="majorHAnsi" w:eastAsia="Times New Roman" w:hAnsiTheme="majorHAnsi" w:cs="Arial"/>
                <w:b/>
                <w:color w:val="FF0000"/>
                <w:sz w:val="16"/>
                <w:szCs w:val="16"/>
                <w:vertAlign w:val="superscript"/>
                <w:lang w:eastAsia="en-GB"/>
              </w:rPr>
              <w:t>2</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Real GVA</w:t>
            </w:r>
          </w:p>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2011=100</w:t>
            </w:r>
          </w:p>
          <w:p w:rsidR="00357187" w:rsidRPr="003956DB" w:rsidRDefault="00357187" w:rsidP="00357187">
            <w:pPr>
              <w:spacing w:after="0" w:line="240" w:lineRule="auto"/>
              <w:jc w:val="center"/>
              <w:rPr>
                <w:rFonts w:asciiTheme="majorHAnsi" w:eastAsia="Times New Roman" w:hAnsiTheme="majorHAnsi" w:cs="Arial"/>
                <w:sz w:val="16"/>
                <w:szCs w:val="16"/>
                <w:vertAlign w:val="superscript"/>
                <w:lang w:eastAsia="en-GB"/>
              </w:rPr>
            </w:pPr>
            <w:r w:rsidRPr="003956DB">
              <w:rPr>
                <w:rFonts w:asciiTheme="majorHAnsi" w:eastAsia="Times New Roman" w:hAnsiTheme="majorHAnsi" w:cs="Arial"/>
                <w:sz w:val="16"/>
                <w:szCs w:val="16"/>
                <w:lang w:eastAsia="en-GB"/>
              </w:rPr>
              <w:t>£m</w:t>
            </w:r>
            <w:r w:rsidRPr="003956DB">
              <w:rPr>
                <w:rFonts w:asciiTheme="majorHAnsi" w:eastAsia="Times New Roman" w:hAnsiTheme="majorHAnsi" w:cs="Arial"/>
                <w:b/>
                <w:color w:val="FF0000"/>
                <w:sz w:val="16"/>
                <w:szCs w:val="16"/>
                <w:vertAlign w:val="superscript"/>
                <w:lang w:eastAsia="en-GB"/>
              </w:rPr>
              <w:t>3</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Population</w:t>
            </w:r>
          </w:p>
          <w:p w:rsidR="00357187" w:rsidRPr="003956DB" w:rsidRDefault="00357187" w:rsidP="00357187">
            <w:pPr>
              <w:spacing w:after="0" w:line="240" w:lineRule="auto"/>
              <w:jc w:val="center"/>
              <w:rPr>
                <w:rFonts w:asciiTheme="majorHAnsi" w:eastAsia="Times New Roman" w:hAnsiTheme="majorHAnsi" w:cs="Arial"/>
                <w:sz w:val="16"/>
                <w:szCs w:val="16"/>
                <w:vertAlign w:val="superscript"/>
                <w:lang w:eastAsia="en-GB"/>
              </w:rPr>
            </w:pPr>
            <w:r w:rsidRPr="003956DB">
              <w:rPr>
                <w:rFonts w:asciiTheme="majorHAnsi" w:eastAsia="Times New Roman" w:hAnsiTheme="majorHAnsi" w:cs="Arial"/>
                <w:sz w:val="16"/>
                <w:szCs w:val="16"/>
                <w:lang w:eastAsia="en-GB"/>
              </w:rPr>
              <w:t>(mn)</w:t>
            </w:r>
            <w:r w:rsidRPr="003956DB">
              <w:rPr>
                <w:rFonts w:asciiTheme="majorHAnsi" w:eastAsia="Times New Roman" w:hAnsiTheme="majorHAnsi" w:cs="Arial"/>
                <w:b/>
                <w:color w:val="FF0000"/>
                <w:sz w:val="16"/>
                <w:szCs w:val="16"/>
                <w:vertAlign w:val="superscript"/>
                <w:lang w:eastAsia="en-GB"/>
              </w:rPr>
              <w:t>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Real GVA per capita</w:t>
            </w:r>
          </w:p>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in 2011 £s</w:t>
            </w: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1963</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33.2</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37044</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5.205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7,117</w:t>
            </w: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1964</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35.8</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39933</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5.209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1965</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37.2</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41490</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5.210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1966</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37.9</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42278</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5.201</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1967</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38.6</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43039</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5.198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1968</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40.3</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44933</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5.200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1969</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42.0</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46820</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5.209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1970</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42.9</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2.1</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47803</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5.215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9,166</w:t>
            </w: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1971</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43.5</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48473</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5.219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1972</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45.1</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50266</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5.223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1973</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48.4</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53935</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5.225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1974</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48.5</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0.02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54043</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5.226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1975</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47.9</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53402</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5.227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1976</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48.7</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54310</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5.229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1977</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49.5</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55179</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5.226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1978</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50.8</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56614</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5.212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1979</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51.3</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57180</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5.204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1980</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50.4</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56169</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5.194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10,814</w:t>
            </w: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1981</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49.7</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55393</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5.180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1982</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50.4</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56169</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5.165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1983</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51.2</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57068</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5.148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1984</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53.3</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4.1</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59408</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5.139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1985</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54.9</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61119</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5.128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1986</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55.3</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0.7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61547</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5.112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1987</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56.7</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63086</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5.099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1988</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59.3</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65988</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5.077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1989</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61.1</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67968</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5.078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1990</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63.0</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3.1</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70075</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5.081</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13,792</w:t>
            </w: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1991</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63.2</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0.3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70285</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5.083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1992</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64.8</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72042</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5.086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1993</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67.2</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74708</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5.092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1994</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70.0</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77846</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5.102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1995</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71.6</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79739</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5.104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1996</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73.5</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81892</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5.092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1997</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77.6</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63810</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86478</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5.083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1998</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79.3</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66506</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88381</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5.077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1999</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81.7</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66071</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91032</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5.072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2000</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83.5</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69726</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93035</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5.063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18,375</w:t>
            </w: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2001</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85.8</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74280</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95640</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5.064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2002</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89.0</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77940</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99179</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5.055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2003</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91.6</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82863</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102055</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5.057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2004</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94.3</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88038</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105015</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5.078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2005</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95.9</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92866</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106800</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5.095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2006</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99.7</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4.0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99551</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111072</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5.117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2007</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102.7</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3.0</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103028</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114404</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5.144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2008</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102.0</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-0.7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108130</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113609</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5.169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2009</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98.1</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-3.8</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108660</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109450</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5.194</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2010</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99.7</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1.6</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108344</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111201</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5.222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21,295</w:t>
            </w: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2011</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100.0</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0.3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111535</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111535</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5.255</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21,986</w:t>
            </w:r>
          </w:p>
        </w:tc>
      </w:tr>
      <w:tr w:rsidR="00357187" w:rsidRPr="00DA38CA" w:rsidTr="00357187">
        <w:trPr>
          <w:trHeight w:val="255"/>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2012</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100.2</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0.2</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113919</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111758</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5.313</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21,035</w:t>
            </w:r>
          </w:p>
        </w:tc>
      </w:tr>
      <w:tr w:rsidR="00357187" w:rsidRPr="00DA38CA" w:rsidTr="00357187">
        <w:trPr>
          <w:trHeight w:val="270"/>
        </w:trPr>
        <w:tc>
          <w:tcPr>
            <w:tcW w:w="582"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 </w:t>
            </w:r>
          </w:p>
        </w:tc>
        <w:tc>
          <w:tcPr>
            <w:tcW w:w="851"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2013</w:t>
            </w:r>
          </w:p>
        </w:tc>
        <w:tc>
          <w:tcPr>
            <w:tcW w:w="2126" w:type="dxa"/>
            <w:tcBorders>
              <w:top w:val="nil"/>
              <w:left w:val="nil"/>
              <w:bottom w:val="nil"/>
              <w:right w:val="nil"/>
            </w:tcBorders>
            <w:shd w:val="clear" w:color="000000" w:fill="FFFFFF"/>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102.1</w:t>
            </w:r>
          </w:p>
        </w:tc>
        <w:tc>
          <w:tcPr>
            <w:tcW w:w="992" w:type="dxa"/>
            <w:tcBorders>
              <w:top w:val="nil"/>
              <w:left w:val="nil"/>
              <w:bottom w:val="nil"/>
              <w:right w:val="nil"/>
            </w:tcBorders>
            <w:shd w:val="clear" w:color="auto" w:fill="auto"/>
            <w:noWrap/>
            <w:vAlign w:val="bottom"/>
            <w:hideMark/>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1.9</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117116</w:t>
            </w:r>
          </w:p>
        </w:tc>
        <w:tc>
          <w:tcPr>
            <w:tcW w:w="1134"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113881</w:t>
            </w:r>
          </w:p>
        </w:tc>
        <w:tc>
          <w:tcPr>
            <w:tcW w:w="1275"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5.327</w:t>
            </w:r>
          </w:p>
        </w:tc>
        <w:tc>
          <w:tcPr>
            <w:tcW w:w="993" w:type="dxa"/>
            <w:tcBorders>
              <w:top w:val="nil"/>
              <w:left w:val="nil"/>
              <w:bottom w:val="nil"/>
              <w:right w:val="nil"/>
            </w:tcBorders>
          </w:tcPr>
          <w:p w:rsidR="00357187" w:rsidRPr="003956DB" w:rsidRDefault="00357187" w:rsidP="00357187">
            <w:pPr>
              <w:spacing w:after="0" w:line="240" w:lineRule="auto"/>
              <w:jc w:val="center"/>
              <w:rPr>
                <w:rFonts w:asciiTheme="majorHAnsi" w:eastAsia="Times New Roman" w:hAnsiTheme="majorHAnsi" w:cs="Arial"/>
                <w:sz w:val="16"/>
                <w:szCs w:val="16"/>
                <w:lang w:eastAsia="en-GB"/>
              </w:rPr>
            </w:pPr>
            <w:r w:rsidRPr="003956DB">
              <w:rPr>
                <w:rFonts w:asciiTheme="majorHAnsi" w:eastAsia="Times New Roman" w:hAnsiTheme="majorHAnsi" w:cs="Arial"/>
                <w:sz w:val="16"/>
                <w:szCs w:val="16"/>
                <w:lang w:eastAsia="en-GB"/>
              </w:rPr>
              <w:t>21,378</w:t>
            </w:r>
          </w:p>
        </w:tc>
      </w:tr>
    </w:tbl>
    <w:p w:rsidR="00357187" w:rsidRPr="00527F78" w:rsidRDefault="00357187" w:rsidP="00527F78">
      <w:pPr>
        <w:rPr>
          <w:rFonts w:ascii="Arial" w:eastAsia="Times New Roman" w:hAnsi="Arial" w:cs="Arial"/>
          <w:sz w:val="18"/>
          <w:szCs w:val="18"/>
          <w:lang w:eastAsia="en-GB"/>
        </w:rPr>
      </w:pPr>
      <w:r w:rsidRPr="00527F78">
        <w:rPr>
          <w:rFonts w:ascii="Arial" w:eastAsia="Times New Roman" w:hAnsi="Arial" w:cs="Arial"/>
          <w:b/>
          <w:color w:val="FF0000"/>
          <w:sz w:val="18"/>
          <w:szCs w:val="18"/>
          <w:lang w:eastAsia="en-GB"/>
        </w:rPr>
        <w:lastRenderedPageBreak/>
        <w:t>1.</w:t>
      </w:r>
      <w:r w:rsidRPr="00527F78">
        <w:rPr>
          <w:rFonts w:ascii="Arial" w:eastAsia="Times New Roman" w:hAnsi="Arial" w:cs="Arial"/>
          <w:color w:val="FF0000"/>
          <w:sz w:val="18"/>
          <w:szCs w:val="18"/>
          <w:lang w:eastAsia="en-GB"/>
        </w:rPr>
        <w:t xml:space="preserve"> </w:t>
      </w:r>
      <w:r w:rsidR="00527F78" w:rsidRPr="00527F78">
        <w:rPr>
          <w:rFonts w:ascii="Arial" w:eastAsia="Times New Roman" w:hAnsi="Arial" w:cs="Arial"/>
          <w:sz w:val="18"/>
          <w:szCs w:val="18"/>
          <w:lang w:eastAsia="en-GB"/>
        </w:rPr>
        <w:t>See</w:t>
      </w:r>
      <w:r w:rsidRPr="00527F78">
        <w:rPr>
          <w:rFonts w:ascii="Arial" w:eastAsia="Times New Roman" w:hAnsi="Arial" w:cs="Arial"/>
          <w:color w:val="FF0000"/>
          <w:sz w:val="18"/>
          <w:szCs w:val="18"/>
          <w:lang w:eastAsia="en-GB"/>
        </w:rPr>
        <w:t xml:space="preserve"> </w:t>
      </w:r>
      <w:hyperlink r:id="rId13" w:history="1">
        <w:r w:rsidR="00527F78" w:rsidRPr="00527F78">
          <w:rPr>
            <w:rStyle w:val="Hyperlink"/>
            <w:rFonts w:ascii="Arial" w:eastAsia="Times New Roman" w:hAnsi="Arial" w:cs="Arial"/>
            <w:sz w:val="18"/>
            <w:szCs w:val="18"/>
            <w:lang w:eastAsia="en-GB"/>
          </w:rPr>
          <w:t>http://www.scotland.gov.uk/Topics/Statistics/Browse/Economy/GDP</w:t>
        </w:r>
      </w:hyperlink>
      <w:r w:rsidR="00527F78" w:rsidRPr="00527F78">
        <w:rPr>
          <w:rStyle w:val="Hyperlink"/>
          <w:rFonts w:ascii="Arial" w:eastAsia="Times New Roman" w:hAnsi="Arial" w:cs="Arial"/>
          <w:sz w:val="18"/>
          <w:szCs w:val="18"/>
          <w:lang w:eastAsia="en-GB"/>
        </w:rPr>
        <w:t>.</w:t>
      </w:r>
      <w:r w:rsidR="00527F78" w:rsidRPr="00527F78">
        <w:rPr>
          <w:rFonts w:ascii="Arial" w:eastAsia="Times New Roman" w:hAnsi="Arial" w:cs="Arial"/>
          <w:b/>
          <w:color w:val="FF0000"/>
          <w:sz w:val="18"/>
          <w:szCs w:val="18"/>
          <w:lang w:eastAsia="en-GB"/>
        </w:rPr>
        <w:t xml:space="preserve">  </w:t>
      </w:r>
      <w:r w:rsidRPr="00527F78">
        <w:rPr>
          <w:rFonts w:ascii="Arial" w:eastAsia="Times New Roman" w:hAnsi="Arial" w:cs="Arial"/>
          <w:sz w:val="18"/>
          <w:szCs w:val="18"/>
          <w:lang w:eastAsia="en-GB"/>
        </w:rPr>
        <w:t xml:space="preserve">Gross Value Added (GVA) is GDP at basic prices. These data are given as indices in real terms. </w:t>
      </w:r>
      <w:r w:rsidR="00527F78" w:rsidRPr="00527F78">
        <w:rPr>
          <w:rFonts w:ascii="Arial" w:eastAsia="Times New Roman" w:hAnsi="Arial" w:cs="Arial"/>
          <w:color w:val="000000"/>
          <w:sz w:val="18"/>
          <w:szCs w:val="18"/>
          <w:lang w:eastAsia="en-GB"/>
        </w:rPr>
        <w:t xml:space="preserve">Quarterly GDP statistics for Scotland are available which detail growth in GVA for the whole economy and at a detailed industry level. Estimates are presented as indices in real terms, meaning  they have been adjusted to remove the effects of inflation to represent changes in the volume of output rather than the cash value. </w:t>
      </w:r>
      <w:r w:rsidR="00527F78" w:rsidRPr="00527F78">
        <w:rPr>
          <w:rFonts w:ascii="Arial" w:eastAsia="Times New Roman" w:hAnsi="Arial" w:cs="Arial"/>
          <w:sz w:val="18"/>
          <w:szCs w:val="18"/>
          <w:lang w:eastAsia="en-GB"/>
        </w:rPr>
        <w:br/>
      </w:r>
      <w:r w:rsidRPr="00527F78">
        <w:rPr>
          <w:rFonts w:ascii="Arial" w:eastAsia="Times New Roman" w:hAnsi="Arial" w:cs="Arial"/>
          <w:b/>
          <w:color w:val="FF0000"/>
          <w:sz w:val="18"/>
          <w:szCs w:val="18"/>
          <w:lang w:eastAsia="en-GB"/>
        </w:rPr>
        <w:t xml:space="preserve">2. </w:t>
      </w:r>
      <w:r w:rsidRPr="00527F78">
        <w:rPr>
          <w:rFonts w:ascii="Arial" w:eastAsia="Times New Roman" w:hAnsi="Arial" w:cs="Arial"/>
          <w:color w:val="FF0000"/>
          <w:sz w:val="18"/>
          <w:szCs w:val="18"/>
          <w:lang w:eastAsia="en-GB"/>
        </w:rPr>
        <w:t xml:space="preserve"> </w:t>
      </w:r>
      <w:r w:rsidRPr="00527F78">
        <w:rPr>
          <w:rFonts w:ascii="Arial" w:eastAsia="Times New Roman" w:hAnsi="Arial" w:cs="Arial"/>
          <w:sz w:val="18"/>
          <w:szCs w:val="18"/>
          <w:lang w:eastAsia="en-GB"/>
        </w:rPr>
        <w:t xml:space="preserve">The Scottish Government does not publish its own real GVA data, but </w:t>
      </w:r>
      <w:r w:rsidR="00527F78">
        <w:rPr>
          <w:rFonts w:ascii="Arial" w:eastAsia="Times New Roman" w:hAnsi="Arial" w:cs="Arial"/>
          <w:sz w:val="18"/>
          <w:szCs w:val="18"/>
          <w:lang w:eastAsia="en-GB"/>
        </w:rPr>
        <w:t xml:space="preserve">does </w:t>
      </w:r>
      <w:r w:rsidRPr="00527F78">
        <w:rPr>
          <w:rFonts w:ascii="Arial" w:eastAsia="Times New Roman" w:hAnsi="Arial" w:cs="Arial"/>
          <w:sz w:val="18"/>
          <w:szCs w:val="18"/>
          <w:lang w:eastAsia="en-GB"/>
        </w:rPr>
        <w:t>give real growth rate indices. The ONS gives current GVA data for Scotland (</w:t>
      </w:r>
      <w:hyperlink r:id="rId14" w:anchor="tab-data-tables" w:history="1">
        <w:r w:rsidRPr="00527F78">
          <w:rPr>
            <w:rStyle w:val="Hyperlink"/>
            <w:rFonts w:ascii="Arial" w:hAnsi="Arial" w:cs="Arial"/>
            <w:sz w:val="18"/>
            <w:szCs w:val="18"/>
          </w:rPr>
          <w:t>http://ons.gov.uk/ons/taxonomy/index.html?nscl=Regional+GVA#tab-data-tables</w:t>
        </w:r>
      </w:hyperlink>
      <w:r w:rsidRPr="00527F78">
        <w:rPr>
          <w:rFonts w:ascii="Arial" w:eastAsia="Times New Roman" w:hAnsi="Arial" w:cs="Arial"/>
          <w:sz w:val="18"/>
          <w:szCs w:val="18"/>
          <w:lang w:eastAsia="en-GB"/>
        </w:rPr>
        <w:t xml:space="preserve">) from which I have computed real GVA in 2011 prices. </w:t>
      </w:r>
      <w:r w:rsidR="00527F78">
        <w:rPr>
          <w:rFonts w:ascii="Arial" w:eastAsia="Times New Roman" w:hAnsi="Arial" w:cs="Arial"/>
          <w:sz w:val="18"/>
          <w:szCs w:val="18"/>
          <w:lang w:eastAsia="en-GB"/>
        </w:rPr>
        <w:br/>
      </w:r>
      <w:r w:rsidRPr="00527F78">
        <w:rPr>
          <w:rFonts w:ascii="Arial" w:eastAsia="Times New Roman" w:hAnsi="Arial" w:cs="Arial"/>
          <w:b/>
          <w:color w:val="FF0000"/>
          <w:sz w:val="18"/>
          <w:szCs w:val="18"/>
          <w:lang w:eastAsia="en-GB"/>
        </w:rPr>
        <w:t>3.</w:t>
      </w:r>
      <w:r w:rsidRPr="00527F78">
        <w:rPr>
          <w:rFonts w:ascii="Arial" w:eastAsia="Times New Roman" w:hAnsi="Arial" w:cs="Arial"/>
          <w:color w:val="FF0000"/>
          <w:sz w:val="18"/>
          <w:szCs w:val="18"/>
          <w:lang w:eastAsia="en-GB"/>
        </w:rPr>
        <w:t xml:space="preserve"> </w:t>
      </w:r>
      <w:r w:rsidRPr="00527F78">
        <w:rPr>
          <w:rFonts w:ascii="Arial" w:eastAsia="Times New Roman" w:hAnsi="Arial" w:cs="Arial"/>
          <w:sz w:val="18"/>
          <w:szCs w:val="18"/>
          <w:lang w:eastAsia="en-GB"/>
        </w:rPr>
        <w:t>From</w:t>
      </w:r>
      <w:r w:rsidRPr="00527F78">
        <w:rPr>
          <w:rFonts w:ascii="Arial" w:eastAsia="Times New Roman" w:hAnsi="Arial" w:cs="Arial"/>
          <w:color w:val="FF0000"/>
          <w:sz w:val="18"/>
          <w:szCs w:val="18"/>
          <w:lang w:eastAsia="en-GB"/>
        </w:rPr>
        <w:t xml:space="preserve"> </w:t>
      </w:r>
      <w:hyperlink r:id="rId15" w:tgtFrame="_blank" w:history="1">
        <w:r w:rsidRPr="00527F78">
          <w:rPr>
            <w:rStyle w:val="Hyperlink"/>
            <w:rFonts w:ascii="Arial" w:hAnsi="Arial" w:cs="Arial"/>
            <w:sz w:val="18"/>
            <w:szCs w:val="18"/>
          </w:rPr>
          <w:t>http://ons.gov.uk/ons/taxonomy/index.html?nscl=Regional+GVA#tab-data-tables</w:t>
        </w:r>
      </w:hyperlink>
      <w:r w:rsidRPr="00527F78">
        <w:rPr>
          <w:rFonts w:ascii="Arial" w:hAnsi="Arial" w:cs="Arial"/>
          <w:sz w:val="18"/>
          <w:szCs w:val="18"/>
        </w:rPr>
        <w:t>.</w:t>
      </w:r>
      <w:r w:rsidRPr="00527F78">
        <w:rPr>
          <w:rFonts w:ascii="Courier New" w:hAnsi="Courier New" w:cs="Courier New"/>
          <w:sz w:val="18"/>
          <w:szCs w:val="18"/>
        </w:rPr>
        <w:t xml:space="preserve"> </w:t>
      </w:r>
      <w:r w:rsidR="00527F78">
        <w:rPr>
          <w:rFonts w:ascii="Courier New" w:hAnsi="Courier New" w:cs="Courier New"/>
          <w:sz w:val="18"/>
          <w:szCs w:val="18"/>
        </w:rPr>
        <w:br/>
      </w:r>
      <w:r w:rsidRPr="00527F78">
        <w:rPr>
          <w:rFonts w:ascii="Arial" w:eastAsia="Times New Roman" w:hAnsi="Arial" w:cs="Arial"/>
          <w:b/>
          <w:color w:val="FF0000"/>
          <w:sz w:val="18"/>
          <w:szCs w:val="18"/>
          <w:lang w:eastAsia="en-GB"/>
        </w:rPr>
        <w:t xml:space="preserve">4. </w:t>
      </w:r>
      <w:r w:rsidRPr="00527F78">
        <w:rPr>
          <w:rFonts w:ascii="Arial" w:eastAsia="Times New Roman" w:hAnsi="Arial" w:cs="Arial"/>
          <w:sz w:val="18"/>
          <w:szCs w:val="18"/>
          <w:lang w:eastAsia="en-GB"/>
        </w:rPr>
        <w:t>From</w:t>
      </w:r>
      <w:r w:rsidRPr="00527F78">
        <w:rPr>
          <w:rFonts w:ascii="Arial" w:eastAsia="Times New Roman" w:hAnsi="Arial" w:cs="Arial"/>
          <w:b/>
          <w:color w:val="FF0000"/>
          <w:sz w:val="18"/>
          <w:szCs w:val="18"/>
          <w:lang w:eastAsia="en-GB"/>
        </w:rPr>
        <w:t xml:space="preserve"> </w:t>
      </w:r>
      <w:hyperlink r:id="rId16" w:history="1">
        <w:r w:rsidRPr="00527F78">
          <w:rPr>
            <w:rStyle w:val="Hyperlink"/>
            <w:rFonts w:ascii="Arial" w:eastAsia="Times New Roman" w:hAnsi="Arial" w:cs="Arial"/>
            <w:sz w:val="18"/>
            <w:szCs w:val="18"/>
            <w:lang w:eastAsia="en-GB"/>
          </w:rPr>
          <w:t>http://www.gro-scotland.gov.uk/statistics/theme/vital-events/index.html</w:t>
        </w:r>
      </w:hyperlink>
      <w:r w:rsidRPr="00527F78">
        <w:rPr>
          <w:rFonts w:ascii="Arial" w:eastAsia="Times New Roman" w:hAnsi="Arial" w:cs="Arial"/>
          <w:b/>
          <w:color w:val="FF0000"/>
          <w:sz w:val="18"/>
          <w:szCs w:val="18"/>
          <w:lang w:eastAsia="en-GB"/>
        </w:rPr>
        <w:t xml:space="preserve"> </w:t>
      </w:r>
      <w:r w:rsidR="00527F78">
        <w:rPr>
          <w:rStyle w:val="Hyperlink"/>
          <w:rFonts w:ascii="Arial" w:eastAsia="Times New Roman" w:hAnsi="Arial" w:cs="Arial"/>
          <w:color w:val="auto"/>
          <w:sz w:val="18"/>
          <w:szCs w:val="18"/>
          <w:u w:val="none"/>
          <w:lang w:eastAsia="en-GB"/>
        </w:rPr>
        <w:t xml:space="preserve"> </w:t>
      </w:r>
    </w:p>
    <w:p w:rsidR="00104D4C" w:rsidRDefault="00104D4C" w:rsidP="0061618B">
      <w:pPr>
        <w:shd w:val="clear" w:color="auto" w:fill="FFFFFF"/>
        <w:spacing w:before="100" w:beforeAutospacing="1" w:line="240" w:lineRule="auto"/>
        <w:jc w:val="center"/>
        <w:rPr>
          <w:rFonts w:ascii="Times New Roman" w:eastAsia="Times New Roman" w:hAnsi="Times New Roman" w:cs="Times New Roman"/>
          <w:b/>
          <w:color w:val="000000"/>
          <w:sz w:val="24"/>
          <w:szCs w:val="24"/>
          <w:lang w:eastAsia="en-GB"/>
        </w:rPr>
      </w:pPr>
    </w:p>
    <w:p w:rsidR="0061618B" w:rsidRPr="0061618B" w:rsidRDefault="0061618B" w:rsidP="0061618B">
      <w:pPr>
        <w:shd w:val="clear" w:color="auto" w:fill="FFFFFF"/>
        <w:spacing w:before="100" w:beforeAutospacing="1" w:line="240" w:lineRule="auto"/>
        <w:jc w:val="center"/>
        <w:rPr>
          <w:rFonts w:ascii="Times New Roman" w:eastAsia="Times New Roman" w:hAnsi="Times New Roman" w:cs="Times New Roman"/>
          <w:b/>
          <w:color w:val="000000"/>
          <w:sz w:val="24"/>
          <w:szCs w:val="24"/>
          <w:lang w:eastAsia="en-GB"/>
        </w:rPr>
      </w:pPr>
      <w:r w:rsidRPr="0061618B">
        <w:rPr>
          <w:rFonts w:ascii="Times New Roman" w:eastAsia="Times New Roman" w:hAnsi="Times New Roman" w:cs="Times New Roman"/>
          <w:b/>
          <w:color w:val="000000"/>
          <w:sz w:val="24"/>
          <w:szCs w:val="24"/>
          <w:lang w:eastAsia="en-GB"/>
        </w:rPr>
        <w:t>APPENDIX</w:t>
      </w:r>
    </w:p>
    <w:p w:rsidR="00D604BD" w:rsidRPr="00D604BD" w:rsidRDefault="00D604BD" w:rsidP="0061618B">
      <w:pPr>
        <w:jc w:val="center"/>
        <w:rPr>
          <w:rFonts w:ascii="Times New Roman" w:hAnsi="Times New Roman" w:cs="Times New Roman"/>
          <w:b/>
          <w:sz w:val="24"/>
          <w:szCs w:val="24"/>
        </w:rPr>
      </w:pPr>
      <w:r>
        <w:rPr>
          <w:rFonts w:ascii="Times New Roman" w:hAnsi="Times New Roman" w:cs="Times New Roman"/>
          <w:b/>
          <w:sz w:val="24"/>
          <w:szCs w:val="24"/>
        </w:rPr>
        <w:t>A Brief C</w:t>
      </w:r>
      <w:r w:rsidR="00184EBE" w:rsidRPr="00D604BD">
        <w:rPr>
          <w:rFonts w:ascii="Times New Roman" w:hAnsi="Times New Roman" w:cs="Times New Roman"/>
          <w:b/>
          <w:sz w:val="24"/>
          <w:szCs w:val="24"/>
        </w:rPr>
        <w:t xml:space="preserve">omparison with the </w:t>
      </w:r>
      <w:r>
        <w:rPr>
          <w:rFonts w:ascii="Times New Roman" w:hAnsi="Times New Roman" w:cs="Times New Roman"/>
          <w:b/>
          <w:sz w:val="24"/>
          <w:szCs w:val="24"/>
        </w:rPr>
        <w:t xml:space="preserve">Case of </w:t>
      </w:r>
      <w:r w:rsidR="00184EBE" w:rsidRPr="00D604BD">
        <w:rPr>
          <w:rFonts w:ascii="Times New Roman" w:hAnsi="Times New Roman" w:cs="Times New Roman"/>
          <w:b/>
          <w:sz w:val="24"/>
          <w:szCs w:val="24"/>
        </w:rPr>
        <w:t>Singapore</w:t>
      </w:r>
    </w:p>
    <w:p w:rsidR="00AA321B" w:rsidRDefault="00D604BD" w:rsidP="00D604BD">
      <w:pPr>
        <w:pStyle w:val="FootnoteText"/>
        <w:jc w:val="both"/>
        <w:rPr>
          <w:rFonts w:ascii="Times New Roman" w:hAnsi="Times New Roman" w:cs="Times New Roman"/>
          <w:sz w:val="24"/>
          <w:szCs w:val="24"/>
        </w:rPr>
      </w:pPr>
      <w:r w:rsidRPr="00D604BD">
        <w:rPr>
          <w:rFonts w:ascii="Times New Roman" w:hAnsi="Times New Roman" w:cs="Times New Roman"/>
          <w:sz w:val="24"/>
          <w:szCs w:val="24"/>
        </w:rPr>
        <w:t xml:space="preserve">In Singapore in FY2013, more than a third of all current government revenue of about £28 billion </w:t>
      </w:r>
      <w:r w:rsidR="008C377C">
        <w:rPr>
          <w:rFonts w:ascii="Times New Roman" w:hAnsi="Times New Roman" w:cs="Times New Roman"/>
          <w:sz w:val="24"/>
          <w:szCs w:val="24"/>
        </w:rPr>
        <w:t>(about 16% of GDP</w:t>
      </w:r>
      <w:r w:rsidR="00A81416">
        <w:rPr>
          <w:rStyle w:val="FootnoteReference"/>
          <w:rFonts w:ascii="Times New Roman" w:hAnsi="Times New Roman" w:cs="Times New Roman"/>
          <w:sz w:val="24"/>
          <w:szCs w:val="24"/>
        </w:rPr>
        <w:footnoteReference w:id="13"/>
      </w:r>
      <w:r w:rsidR="008C377C">
        <w:rPr>
          <w:rFonts w:ascii="Times New Roman" w:hAnsi="Times New Roman" w:cs="Times New Roman"/>
          <w:sz w:val="24"/>
          <w:szCs w:val="24"/>
        </w:rPr>
        <w:t xml:space="preserve">) </w:t>
      </w:r>
      <w:r w:rsidRPr="00D604BD">
        <w:rPr>
          <w:rFonts w:ascii="Times New Roman" w:hAnsi="Times New Roman" w:cs="Times New Roman"/>
          <w:sz w:val="24"/>
          <w:szCs w:val="24"/>
        </w:rPr>
        <w:t>came from levies on the use of space and fixed property. A further £5billion (18% of current revenues) came from sale</w:t>
      </w:r>
      <w:r w:rsidR="008C377C">
        <w:rPr>
          <w:rFonts w:ascii="Times New Roman" w:hAnsi="Times New Roman" w:cs="Times New Roman"/>
          <w:sz w:val="24"/>
          <w:szCs w:val="24"/>
        </w:rPr>
        <w:t>s</w:t>
      </w:r>
      <w:r w:rsidRPr="00D604BD">
        <w:rPr>
          <w:rFonts w:ascii="Times New Roman" w:hAnsi="Times New Roman" w:cs="Times New Roman"/>
          <w:sz w:val="24"/>
          <w:szCs w:val="24"/>
        </w:rPr>
        <w:t xml:space="preserve"> of government land. </w:t>
      </w:r>
      <w:r w:rsidR="008C377C">
        <w:rPr>
          <w:rFonts w:ascii="Times New Roman" w:hAnsi="Times New Roman" w:cs="Times New Roman"/>
          <w:sz w:val="24"/>
          <w:szCs w:val="24"/>
        </w:rPr>
        <w:t xml:space="preserve">(The government owns about 75% of all land on the island.) </w:t>
      </w:r>
      <w:r w:rsidRPr="00D604BD">
        <w:rPr>
          <w:rFonts w:ascii="Times New Roman" w:hAnsi="Times New Roman" w:cs="Times New Roman"/>
          <w:sz w:val="24"/>
          <w:szCs w:val="24"/>
        </w:rPr>
        <w:t xml:space="preserve">In addition, </w:t>
      </w:r>
      <w:r w:rsidR="00AA321B">
        <w:rPr>
          <w:rFonts w:ascii="Times New Roman" w:hAnsi="Times New Roman" w:cs="Times New Roman"/>
          <w:sz w:val="24"/>
          <w:szCs w:val="24"/>
        </w:rPr>
        <w:t xml:space="preserve">there was undoubtedly much rental income in the </w:t>
      </w:r>
      <w:r w:rsidRPr="00D604BD">
        <w:rPr>
          <w:rFonts w:ascii="Times New Roman" w:hAnsi="Times New Roman" w:cs="Times New Roman"/>
          <w:sz w:val="24"/>
          <w:szCs w:val="24"/>
        </w:rPr>
        <w:t xml:space="preserve">corporate income taxes </w:t>
      </w:r>
      <w:r w:rsidR="00AA321B">
        <w:rPr>
          <w:rFonts w:ascii="Times New Roman" w:hAnsi="Times New Roman" w:cs="Times New Roman"/>
          <w:sz w:val="24"/>
          <w:szCs w:val="24"/>
        </w:rPr>
        <w:t xml:space="preserve">that </w:t>
      </w:r>
      <w:r w:rsidRPr="00D604BD">
        <w:rPr>
          <w:rFonts w:ascii="Times New Roman" w:hAnsi="Times New Roman" w:cs="Times New Roman"/>
          <w:sz w:val="24"/>
          <w:szCs w:val="24"/>
        </w:rPr>
        <w:t>account</w:t>
      </w:r>
      <w:r w:rsidR="00AA321B">
        <w:rPr>
          <w:rFonts w:ascii="Times New Roman" w:hAnsi="Times New Roman" w:cs="Times New Roman"/>
          <w:sz w:val="24"/>
          <w:szCs w:val="24"/>
        </w:rPr>
        <w:t>ed</w:t>
      </w:r>
      <w:r w:rsidRPr="00D604BD">
        <w:rPr>
          <w:rFonts w:ascii="Times New Roman" w:hAnsi="Times New Roman" w:cs="Times New Roman"/>
          <w:sz w:val="24"/>
          <w:szCs w:val="24"/>
        </w:rPr>
        <w:t xml:space="preserve"> for 22% of </w:t>
      </w:r>
      <w:r w:rsidR="008C377C">
        <w:rPr>
          <w:rFonts w:ascii="Times New Roman" w:hAnsi="Times New Roman" w:cs="Times New Roman"/>
          <w:sz w:val="24"/>
          <w:szCs w:val="24"/>
        </w:rPr>
        <w:t xml:space="preserve">all </w:t>
      </w:r>
      <w:r w:rsidRPr="00D604BD">
        <w:rPr>
          <w:rFonts w:ascii="Times New Roman" w:hAnsi="Times New Roman" w:cs="Times New Roman"/>
          <w:sz w:val="24"/>
          <w:szCs w:val="24"/>
        </w:rPr>
        <w:t xml:space="preserve">revenues. (For example, the Port of Singapore Authority’s revenues amounted to </w:t>
      </w:r>
      <w:r w:rsidR="00186AEE">
        <w:rPr>
          <w:rFonts w:ascii="Times New Roman" w:hAnsi="Times New Roman" w:cs="Times New Roman"/>
          <w:sz w:val="24"/>
          <w:szCs w:val="24"/>
        </w:rPr>
        <w:t>nearly £2.4</w:t>
      </w:r>
      <w:r w:rsidRPr="00D604BD">
        <w:rPr>
          <w:rFonts w:ascii="Times New Roman" w:hAnsi="Times New Roman" w:cs="Times New Roman"/>
          <w:sz w:val="24"/>
          <w:szCs w:val="24"/>
        </w:rPr>
        <w:t>bn in 201</w:t>
      </w:r>
      <w:r w:rsidR="00186AEE">
        <w:rPr>
          <w:rFonts w:ascii="Times New Roman" w:hAnsi="Times New Roman" w:cs="Times New Roman"/>
          <w:sz w:val="24"/>
          <w:szCs w:val="24"/>
        </w:rPr>
        <w:t>3</w:t>
      </w:r>
      <w:r w:rsidRPr="00D604BD">
        <w:rPr>
          <w:rFonts w:ascii="Times New Roman" w:hAnsi="Times New Roman" w:cs="Times New Roman"/>
          <w:sz w:val="24"/>
          <w:szCs w:val="24"/>
        </w:rPr>
        <w:t>, mostly from docking charges</w:t>
      </w:r>
      <w:r w:rsidR="00186AEE">
        <w:rPr>
          <w:rFonts w:ascii="Times New Roman" w:hAnsi="Times New Roman" w:cs="Times New Roman"/>
          <w:sz w:val="24"/>
          <w:szCs w:val="24"/>
        </w:rPr>
        <w:t>. Its “profits” amounted to about £836m or 36% of revenues</w:t>
      </w:r>
      <w:r w:rsidRPr="00D604BD">
        <w:rPr>
          <w:rFonts w:ascii="Times New Roman" w:hAnsi="Times New Roman" w:cs="Times New Roman"/>
          <w:sz w:val="24"/>
          <w:szCs w:val="24"/>
        </w:rPr>
        <w:t>, and it paid around £1</w:t>
      </w:r>
      <w:r w:rsidR="00186AEE">
        <w:rPr>
          <w:rFonts w:ascii="Times New Roman" w:hAnsi="Times New Roman" w:cs="Times New Roman"/>
          <w:sz w:val="24"/>
          <w:szCs w:val="24"/>
        </w:rPr>
        <w:t>50</w:t>
      </w:r>
      <w:r w:rsidRPr="00D604BD">
        <w:rPr>
          <w:rFonts w:ascii="Times New Roman" w:hAnsi="Times New Roman" w:cs="Times New Roman"/>
          <w:sz w:val="24"/>
          <w:szCs w:val="24"/>
        </w:rPr>
        <w:t xml:space="preserve">m in taxes.) </w:t>
      </w:r>
    </w:p>
    <w:p w:rsidR="00AA321B" w:rsidRDefault="00AA321B" w:rsidP="00D604BD">
      <w:pPr>
        <w:pStyle w:val="FootnoteText"/>
        <w:jc w:val="both"/>
        <w:rPr>
          <w:rFonts w:ascii="Times New Roman" w:hAnsi="Times New Roman" w:cs="Times New Roman"/>
          <w:sz w:val="24"/>
          <w:szCs w:val="24"/>
        </w:rPr>
      </w:pPr>
    </w:p>
    <w:p w:rsidR="00D604BD" w:rsidRDefault="00AA321B" w:rsidP="00D604BD">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Singapore residents pay for the use of land in various </w:t>
      </w:r>
      <w:r w:rsidR="00A81416">
        <w:rPr>
          <w:rFonts w:ascii="Times New Roman" w:hAnsi="Times New Roman" w:cs="Times New Roman"/>
          <w:sz w:val="24"/>
          <w:szCs w:val="24"/>
        </w:rPr>
        <w:t xml:space="preserve">other </w:t>
      </w:r>
      <w:r>
        <w:rPr>
          <w:rFonts w:ascii="Times New Roman" w:hAnsi="Times New Roman" w:cs="Times New Roman"/>
          <w:sz w:val="24"/>
          <w:szCs w:val="24"/>
        </w:rPr>
        <w:t>explicit and implicit ways. For example, o</w:t>
      </w:r>
      <w:r w:rsidR="00D604BD" w:rsidRPr="00D604BD">
        <w:rPr>
          <w:rFonts w:ascii="Times New Roman" w:hAnsi="Times New Roman" w:cs="Times New Roman"/>
          <w:sz w:val="24"/>
          <w:szCs w:val="24"/>
        </w:rPr>
        <w:t xml:space="preserve">ne cannot buy a new car without first bidding, in a monthly auction, for a “certificate of entitlement (COE). The certificates are issued strictly according to the estimated increase in the carrying capacity of the road system – about 1% a year. Currently, a COE for a 1600cc car costs £33,000 on top of the world price of the car plus </w:t>
      </w:r>
      <w:r w:rsidR="00D63A42">
        <w:rPr>
          <w:rFonts w:ascii="Times New Roman" w:hAnsi="Times New Roman" w:cs="Times New Roman"/>
          <w:sz w:val="24"/>
          <w:szCs w:val="24"/>
        </w:rPr>
        <w:t>31</w:t>
      </w:r>
      <w:r w:rsidR="00D604BD" w:rsidRPr="00D604BD">
        <w:rPr>
          <w:rFonts w:ascii="Times New Roman" w:hAnsi="Times New Roman" w:cs="Times New Roman"/>
          <w:sz w:val="24"/>
          <w:szCs w:val="24"/>
        </w:rPr>
        <w:t xml:space="preserve">% import duty. So, a car </w:t>
      </w:r>
      <w:r w:rsidR="0061618B">
        <w:rPr>
          <w:rFonts w:ascii="Times New Roman" w:hAnsi="Times New Roman" w:cs="Times New Roman"/>
          <w:sz w:val="24"/>
          <w:szCs w:val="24"/>
        </w:rPr>
        <w:t xml:space="preserve">whose world price is </w:t>
      </w:r>
      <w:r w:rsidR="00D604BD" w:rsidRPr="00D604BD">
        <w:rPr>
          <w:rFonts w:ascii="Times New Roman" w:hAnsi="Times New Roman" w:cs="Times New Roman"/>
          <w:sz w:val="24"/>
          <w:szCs w:val="24"/>
        </w:rPr>
        <w:t>£</w:t>
      </w:r>
      <w:r w:rsidR="0061618B">
        <w:rPr>
          <w:rFonts w:ascii="Times New Roman" w:hAnsi="Times New Roman" w:cs="Times New Roman"/>
          <w:sz w:val="24"/>
          <w:szCs w:val="24"/>
        </w:rPr>
        <w:t>15</w:t>
      </w:r>
      <w:r w:rsidR="00D604BD" w:rsidRPr="00D604BD">
        <w:rPr>
          <w:rFonts w:ascii="Times New Roman" w:hAnsi="Times New Roman" w:cs="Times New Roman"/>
          <w:sz w:val="24"/>
          <w:szCs w:val="24"/>
        </w:rPr>
        <w:t xml:space="preserve">,000 </w:t>
      </w:r>
      <w:r w:rsidR="0061618B">
        <w:rPr>
          <w:rFonts w:ascii="Times New Roman" w:hAnsi="Times New Roman" w:cs="Times New Roman"/>
          <w:sz w:val="24"/>
          <w:szCs w:val="24"/>
        </w:rPr>
        <w:t>would cost around £53</w:t>
      </w:r>
      <w:r w:rsidR="00D604BD" w:rsidRPr="00D604BD">
        <w:rPr>
          <w:rFonts w:ascii="Times New Roman" w:hAnsi="Times New Roman" w:cs="Times New Roman"/>
          <w:sz w:val="24"/>
          <w:szCs w:val="24"/>
        </w:rPr>
        <w:t>,000</w:t>
      </w:r>
      <w:r w:rsidR="0061618B">
        <w:rPr>
          <w:rFonts w:ascii="Times New Roman" w:hAnsi="Times New Roman" w:cs="Times New Roman"/>
          <w:sz w:val="24"/>
          <w:szCs w:val="24"/>
        </w:rPr>
        <w:t xml:space="preserve"> in Singapore</w:t>
      </w:r>
      <w:r w:rsidR="00D604BD" w:rsidRPr="00D604BD">
        <w:rPr>
          <w:rFonts w:ascii="Times New Roman" w:hAnsi="Times New Roman" w:cs="Times New Roman"/>
          <w:sz w:val="24"/>
          <w:szCs w:val="24"/>
        </w:rPr>
        <w:t>. Also, there are steep parking charges and charges for entering the Central Business District. These are all effectively charges, or rents, for the use of road space.</w:t>
      </w:r>
    </w:p>
    <w:p w:rsidR="0061618B" w:rsidRDefault="0061618B" w:rsidP="00D604BD">
      <w:pPr>
        <w:pStyle w:val="FootnoteText"/>
        <w:jc w:val="both"/>
        <w:rPr>
          <w:rFonts w:ascii="Times New Roman" w:hAnsi="Times New Roman" w:cs="Times New Roman"/>
          <w:sz w:val="24"/>
          <w:szCs w:val="24"/>
        </w:rPr>
      </w:pPr>
    </w:p>
    <w:p w:rsidR="0061618B" w:rsidRDefault="006F1366" w:rsidP="00D604BD">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Since 1973 various </w:t>
      </w:r>
      <w:r w:rsidR="00D604BD" w:rsidRPr="00D604BD">
        <w:rPr>
          <w:rFonts w:ascii="Times New Roman" w:hAnsi="Times New Roman" w:cs="Times New Roman"/>
          <w:sz w:val="24"/>
          <w:szCs w:val="24"/>
        </w:rPr>
        <w:t>Land Acquisition Act</w:t>
      </w:r>
      <w:r>
        <w:rPr>
          <w:rFonts w:ascii="Times New Roman" w:hAnsi="Times New Roman" w:cs="Times New Roman"/>
          <w:sz w:val="24"/>
          <w:szCs w:val="24"/>
        </w:rPr>
        <w:t>s</w:t>
      </w:r>
      <w:r w:rsidR="00D604BD" w:rsidRPr="00D604BD">
        <w:rPr>
          <w:rFonts w:ascii="Times New Roman" w:hAnsi="Times New Roman" w:cs="Times New Roman"/>
          <w:sz w:val="24"/>
          <w:szCs w:val="24"/>
        </w:rPr>
        <w:t xml:space="preserve"> </w:t>
      </w:r>
      <w:r>
        <w:rPr>
          <w:rFonts w:ascii="Times New Roman" w:hAnsi="Times New Roman" w:cs="Times New Roman"/>
          <w:sz w:val="24"/>
          <w:szCs w:val="24"/>
        </w:rPr>
        <w:t xml:space="preserve">have </w:t>
      </w:r>
      <w:r w:rsidR="00D604BD" w:rsidRPr="00D604BD">
        <w:rPr>
          <w:rFonts w:ascii="Times New Roman" w:hAnsi="Times New Roman" w:cs="Times New Roman"/>
          <w:sz w:val="24"/>
          <w:szCs w:val="24"/>
        </w:rPr>
        <w:t>also empower</w:t>
      </w:r>
      <w:r>
        <w:rPr>
          <w:rFonts w:ascii="Times New Roman" w:hAnsi="Times New Roman" w:cs="Times New Roman"/>
          <w:sz w:val="24"/>
          <w:szCs w:val="24"/>
        </w:rPr>
        <w:t>ed</w:t>
      </w:r>
      <w:r w:rsidR="00D604BD" w:rsidRPr="00D604BD">
        <w:rPr>
          <w:rFonts w:ascii="Times New Roman" w:hAnsi="Times New Roman" w:cs="Times New Roman"/>
          <w:sz w:val="24"/>
          <w:szCs w:val="24"/>
        </w:rPr>
        <w:t xml:space="preserve"> the government to purchase any land deemed necessary for public development purposes at its historic and pre-development value</w:t>
      </w:r>
      <w:r>
        <w:rPr>
          <w:rFonts w:ascii="Times New Roman" w:hAnsi="Times New Roman" w:cs="Times New Roman"/>
          <w:sz w:val="24"/>
          <w:szCs w:val="24"/>
        </w:rPr>
        <w:t xml:space="preserve">. It is then </w:t>
      </w:r>
      <w:r w:rsidR="00D604BD" w:rsidRPr="00D604BD">
        <w:rPr>
          <w:rFonts w:ascii="Times New Roman" w:hAnsi="Times New Roman" w:cs="Times New Roman"/>
          <w:sz w:val="24"/>
          <w:szCs w:val="24"/>
        </w:rPr>
        <w:t xml:space="preserve">sold post-development at its then market price. </w:t>
      </w:r>
    </w:p>
    <w:p w:rsidR="0061618B" w:rsidRDefault="0061618B" w:rsidP="00D604BD">
      <w:pPr>
        <w:pStyle w:val="FootnoteText"/>
        <w:jc w:val="both"/>
        <w:rPr>
          <w:rFonts w:ascii="Times New Roman" w:hAnsi="Times New Roman" w:cs="Times New Roman"/>
          <w:sz w:val="24"/>
          <w:szCs w:val="24"/>
        </w:rPr>
      </w:pPr>
    </w:p>
    <w:p w:rsidR="00184EBE" w:rsidRPr="00104D4C" w:rsidRDefault="0061618B" w:rsidP="00104D4C">
      <w:pPr>
        <w:pStyle w:val="FootnoteText"/>
        <w:jc w:val="both"/>
        <w:rPr>
          <w:sz w:val="24"/>
          <w:szCs w:val="24"/>
        </w:rPr>
      </w:pPr>
      <w:r>
        <w:rPr>
          <w:rFonts w:ascii="Times New Roman" w:hAnsi="Times New Roman" w:cs="Times New Roman"/>
          <w:sz w:val="24"/>
          <w:szCs w:val="24"/>
        </w:rPr>
        <w:t>So</w:t>
      </w:r>
      <w:r w:rsidR="00A81416">
        <w:rPr>
          <w:rFonts w:ascii="Times New Roman" w:hAnsi="Times New Roman" w:cs="Times New Roman"/>
          <w:sz w:val="24"/>
          <w:szCs w:val="24"/>
        </w:rPr>
        <w:t xml:space="preserve"> Singapore (</w:t>
      </w:r>
      <w:r>
        <w:rPr>
          <w:rFonts w:ascii="Times New Roman" w:hAnsi="Times New Roman" w:cs="Times New Roman"/>
          <w:sz w:val="24"/>
          <w:szCs w:val="24"/>
        </w:rPr>
        <w:t xml:space="preserve">as </w:t>
      </w:r>
      <w:r w:rsidR="00D604BD" w:rsidRPr="00D604BD">
        <w:rPr>
          <w:rFonts w:ascii="Times New Roman" w:hAnsi="Times New Roman" w:cs="Times New Roman"/>
          <w:sz w:val="24"/>
          <w:szCs w:val="24"/>
        </w:rPr>
        <w:t>in Hong Kong</w:t>
      </w:r>
      <w:r w:rsidR="00A81416">
        <w:rPr>
          <w:rFonts w:ascii="Times New Roman" w:hAnsi="Times New Roman" w:cs="Times New Roman"/>
          <w:sz w:val="24"/>
          <w:szCs w:val="24"/>
        </w:rPr>
        <w:t xml:space="preserve">) obtains </w:t>
      </w:r>
      <w:r w:rsidR="00D604BD" w:rsidRPr="00D604BD">
        <w:rPr>
          <w:rFonts w:ascii="Times New Roman" w:hAnsi="Times New Roman" w:cs="Times New Roman"/>
          <w:sz w:val="24"/>
          <w:szCs w:val="24"/>
        </w:rPr>
        <w:t xml:space="preserve">a substantial fraction of all government revenue from property taxes, with correspondingly low taxes on earned incomes and expenditures. As a result of this greater dependence on land-based revenues, Singapore’s taxes on personal incomes account for only 13.4% of all government revenue. (In the UK, the proportion </w:t>
      </w:r>
      <w:r w:rsidR="00A81416">
        <w:rPr>
          <w:rFonts w:ascii="Times New Roman" w:hAnsi="Times New Roman" w:cs="Times New Roman"/>
          <w:sz w:val="24"/>
          <w:szCs w:val="24"/>
        </w:rPr>
        <w:t xml:space="preserve">obtained from personal income taxes </w:t>
      </w:r>
      <w:r w:rsidR="00D604BD" w:rsidRPr="00D604BD">
        <w:rPr>
          <w:rFonts w:ascii="Times New Roman" w:hAnsi="Times New Roman" w:cs="Times New Roman"/>
          <w:sz w:val="24"/>
          <w:szCs w:val="24"/>
        </w:rPr>
        <w:t>in FY 2012-13 was 26.9% plus another 16% in national insurance contributions.)</w:t>
      </w:r>
      <w:r w:rsidR="00D604BD" w:rsidRPr="00D604BD">
        <w:rPr>
          <w:rFonts w:ascii="Times New Roman" w:hAnsi="Times New Roman" w:cs="Times New Roman"/>
          <w:color w:val="FF0000"/>
          <w:sz w:val="24"/>
          <w:szCs w:val="24"/>
        </w:rPr>
        <w:t xml:space="preserve"> </w:t>
      </w:r>
      <w:r w:rsidR="00D604BD" w:rsidRPr="00D604BD">
        <w:rPr>
          <w:rFonts w:ascii="Times New Roman" w:hAnsi="Times New Roman" w:cs="Times New Roman"/>
          <w:sz w:val="24"/>
          <w:szCs w:val="24"/>
        </w:rPr>
        <w:t>The resulting dynamism of the Singapore economy – it has one of the world’s fastest rates of growth – has naturally engendered a self-sustaining virtuous circle of buoyant land values and associated state revenues.</w:t>
      </w:r>
    </w:p>
    <w:sectPr w:rsidR="00184EBE" w:rsidRPr="00104D4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76E" w:rsidRDefault="00CB176E" w:rsidP="00095F02">
      <w:pPr>
        <w:spacing w:after="0" w:line="240" w:lineRule="auto"/>
      </w:pPr>
      <w:r>
        <w:separator/>
      </w:r>
    </w:p>
  </w:endnote>
  <w:endnote w:type="continuationSeparator" w:id="0">
    <w:p w:rsidR="00CB176E" w:rsidRDefault="00CB176E" w:rsidP="0009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10490"/>
      <w:docPartObj>
        <w:docPartGallery w:val="Page Numbers (Bottom of Page)"/>
        <w:docPartUnique/>
      </w:docPartObj>
    </w:sdtPr>
    <w:sdtEndPr>
      <w:rPr>
        <w:noProof/>
      </w:rPr>
    </w:sdtEndPr>
    <w:sdtContent>
      <w:p w:rsidR="00FE7D32" w:rsidRDefault="00FE7D32">
        <w:pPr>
          <w:pStyle w:val="Footer"/>
          <w:jc w:val="right"/>
        </w:pPr>
        <w:r>
          <w:fldChar w:fldCharType="begin"/>
        </w:r>
        <w:r>
          <w:instrText xml:space="preserve"> PAGE   \* MERGEFORMAT </w:instrText>
        </w:r>
        <w:r>
          <w:fldChar w:fldCharType="separate"/>
        </w:r>
        <w:r w:rsidR="001B6038">
          <w:rPr>
            <w:noProof/>
          </w:rPr>
          <w:t>1</w:t>
        </w:r>
        <w:r>
          <w:rPr>
            <w:noProof/>
          </w:rPr>
          <w:fldChar w:fldCharType="end"/>
        </w:r>
      </w:p>
    </w:sdtContent>
  </w:sdt>
  <w:p w:rsidR="00FE7D32" w:rsidRDefault="00FE7D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76E" w:rsidRDefault="00CB176E" w:rsidP="00095F02">
      <w:pPr>
        <w:spacing w:after="0" w:line="240" w:lineRule="auto"/>
      </w:pPr>
      <w:r>
        <w:separator/>
      </w:r>
    </w:p>
  </w:footnote>
  <w:footnote w:type="continuationSeparator" w:id="0">
    <w:p w:rsidR="00CB176E" w:rsidRDefault="00CB176E" w:rsidP="00095F02">
      <w:pPr>
        <w:spacing w:after="0" w:line="240" w:lineRule="auto"/>
      </w:pPr>
      <w:r>
        <w:continuationSeparator/>
      </w:r>
    </w:p>
  </w:footnote>
  <w:footnote w:id="1">
    <w:p w:rsidR="00FE7D32" w:rsidRPr="00350C56" w:rsidRDefault="00FE7D32" w:rsidP="00AE67BF">
      <w:pPr>
        <w:pStyle w:val="FootnoteText"/>
        <w:jc w:val="both"/>
        <w:rPr>
          <w:rFonts w:ascii="Times New Roman" w:hAnsi="Times New Roman" w:cs="Times New Roman"/>
          <w:sz w:val="22"/>
          <w:szCs w:val="22"/>
        </w:rPr>
      </w:pPr>
      <w:r>
        <w:rPr>
          <w:rFonts w:ascii="Times New Roman" w:hAnsi="Times New Roman" w:cs="Times New Roman"/>
          <w:sz w:val="22"/>
          <w:szCs w:val="22"/>
        </w:rPr>
        <w:t xml:space="preserve">    </w:t>
      </w:r>
      <w:r w:rsidRPr="00234BF3">
        <w:rPr>
          <w:rStyle w:val="FootnoteReference"/>
          <w:rFonts w:ascii="Times New Roman" w:hAnsi="Times New Roman" w:cs="Times New Roman"/>
          <w:sz w:val="22"/>
          <w:szCs w:val="22"/>
        </w:rPr>
        <w:footnoteRef/>
      </w:r>
      <w:r w:rsidRPr="00234BF3">
        <w:rPr>
          <w:rFonts w:ascii="Times New Roman" w:hAnsi="Times New Roman" w:cs="Times New Roman"/>
          <w:sz w:val="22"/>
          <w:szCs w:val="22"/>
        </w:rPr>
        <w:t xml:space="preserve"> </w:t>
      </w:r>
      <w:r>
        <w:rPr>
          <w:rFonts w:ascii="Times New Roman" w:hAnsi="Times New Roman" w:cs="Times New Roman"/>
          <w:sz w:val="22"/>
          <w:szCs w:val="22"/>
        </w:rPr>
        <w:t xml:space="preserve">Background paper for conference on “The Constitutional and Fiscal Dimensions of Land”, </w:t>
      </w:r>
      <w:r w:rsidRPr="00234BF3">
        <w:rPr>
          <w:rFonts w:ascii="Times New Roman" w:hAnsi="Times New Roman" w:cs="Times New Roman"/>
          <w:sz w:val="22"/>
          <w:szCs w:val="22"/>
        </w:rPr>
        <w:t xml:space="preserve">Glasgow, </w:t>
      </w:r>
      <w:r>
        <w:rPr>
          <w:rFonts w:ascii="Times New Roman" w:hAnsi="Times New Roman" w:cs="Times New Roman"/>
          <w:sz w:val="22"/>
          <w:szCs w:val="22"/>
        </w:rPr>
        <w:t xml:space="preserve">February 25, 2015, organised by the Scottish Land Revenues Group (SLRG). </w:t>
      </w:r>
    </w:p>
  </w:footnote>
  <w:footnote w:id="2">
    <w:p w:rsidR="00FE7D32" w:rsidRDefault="00FE7D32">
      <w:pPr>
        <w:pStyle w:val="FootnoteText"/>
      </w:pPr>
      <w:r>
        <w:rPr>
          <w:rFonts w:ascii="Times New Roman" w:hAnsi="Times New Roman" w:cs="Times New Roman"/>
          <w:sz w:val="22"/>
          <w:szCs w:val="22"/>
        </w:rPr>
        <w:t xml:space="preserve">   </w:t>
      </w:r>
      <w:r w:rsidRPr="00350C56">
        <w:rPr>
          <w:rStyle w:val="FootnoteReference"/>
          <w:rFonts w:ascii="Times New Roman" w:hAnsi="Times New Roman" w:cs="Times New Roman"/>
          <w:sz w:val="22"/>
          <w:szCs w:val="22"/>
        </w:rPr>
        <w:footnoteRef/>
      </w:r>
      <w:r w:rsidRPr="00350C56">
        <w:rPr>
          <w:rFonts w:ascii="Times New Roman" w:hAnsi="Times New Roman" w:cs="Times New Roman"/>
          <w:sz w:val="22"/>
          <w:szCs w:val="22"/>
        </w:rPr>
        <w:t xml:space="preserve"> Emeritus Professor of Economics, University of Strathclyde</w:t>
      </w:r>
    </w:p>
  </w:footnote>
  <w:footnote w:id="3">
    <w:p w:rsidR="00FE7D32" w:rsidRPr="00937461" w:rsidRDefault="00FE7D32">
      <w:pPr>
        <w:pStyle w:val="FootnoteText"/>
        <w:rPr>
          <w:rFonts w:ascii="Times New Roman" w:hAnsi="Times New Roman" w:cs="Times New Roman"/>
          <w:sz w:val="22"/>
          <w:szCs w:val="22"/>
        </w:rPr>
      </w:pPr>
      <w:r>
        <w:rPr>
          <w:rFonts w:ascii="Times New Roman" w:hAnsi="Times New Roman" w:cs="Times New Roman"/>
          <w:sz w:val="22"/>
          <w:szCs w:val="22"/>
        </w:rPr>
        <w:t xml:space="preserve">   </w:t>
      </w:r>
      <w:r w:rsidRPr="00937461">
        <w:rPr>
          <w:rStyle w:val="FootnoteReference"/>
          <w:rFonts w:ascii="Times New Roman" w:hAnsi="Times New Roman" w:cs="Times New Roman"/>
          <w:sz w:val="22"/>
          <w:szCs w:val="22"/>
        </w:rPr>
        <w:footnoteRef/>
      </w:r>
      <w:r w:rsidRPr="00937461">
        <w:rPr>
          <w:rFonts w:ascii="Times New Roman" w:hAnsi="Times New Roman" w:cs="Times New Roman"/>
          <w:sz w:val="22"/>
          <w:szCs w:val="22"/>
        </w:rPr>
        <w:t xml:space="preserve"> This, however, can </w:t>
      </w:r>
      <w:r>
        <w:rPr>
          <w:rFonts w:ascii="Times New Roman" w:hAnsi="Times New Roman" w:cs="Times New Roman"/>
          <w:sz w:val="22"/>
          <w:szCs w:val="22"/>
        </w:rPr>
        <w:t xml:space="preserve">invite </w:t>
      </w:r>
      <w:r w:rsidRPr="00937461">
        <w:rPr>
          <w:rFonts w:ascii="Times New Roman" w:hAnsi="Times New Roman" w:cs="Times New Roman"/>
          <w:sz w:val="22"/>
          <w:szCs w:val="22"/>
        </w:rPr>
        <w:t>asset stripp</w:t>
      </w:r>
      <w:r>
        <w:rPr>
          <w:rFonts w:ascii="Times New Roman" w:hAnsi="Times New Roman" w:cs="Times New Roman"/>
          <w:sz w:val="22"/>
          <w:szCs w:val="22"/>
        </w:rPr>
        <w:t>ing</w:t>
      </w:r>
      <w:r w:rsidRPr="00937461">
        <w:rPr>
          <w:rFonts w:ascii="Times New Roman" w:hAnsi="Times New Roman" w:cs="Times New Roman"/>
          <w:sz w:val="22"/>
          <w:szCs w:val="22"/>
        </w:rPr>
        <w:t>.</w:t>
      </w:r>
    </w:p>
  </w:footnote>
  <w:footnote w:id="4">
    <w:p w:rsidR="00FE7D32" w:rsidRPr="00DA281A" w:rsidRDefault="00FE7D32" w:rsidP="00E269D7">
      <w:pPr>
        <w:pStyle w:val="FootnoteText"/>
        <w:jc w:val="both"/>
        <w:rPr>
          <w:rFonts w:ascii="Times New Roman" w:hAnsi="Times New Roman" w:cs="Times New Roman"/>
          <w:sz w:val="22"/>
          <w:szCs w:val="22"/>
        </w:rPr>
      </w:pPr>
      <w:r>
        <w:rPr>
          <w:rFonts w:ascii="Times New Roman" w:hAnsi="Times New Roman" w:cs="Times New Roman"/>
          <w:sz w:val="22"/>
          <w:szCs w:val="22"/>
        </w:rPr>
        <w:t xml:space="preserve">   </w:t>
      </w:r>
      <w:r w:rsidRPr="00937461">
        <w:rPr>
          <w:rStyle w:val="FootnoteReference"/>
          <w:rFonts w:ascii="Times New Roman" w:hAnsi="Times New Roman" w:cs="Times New Roman"/>
          <w:sz w:val="22"/>
          <w:szCs w:val="22"/>
        </w:rPr>
        <w:footnoteRef/>
      </w:r>
      <w:r w:rsidRPr="00937461">
        <w:rPr>
          <w:rFonts w:ascii="Times New Roman" w:hAnsi="Times New Roman" w:cs="Times New Roman"/>
          <w:sz w:val="22"/>
          <w:szCs w:val="22"/>
        </w:rPr>
        <w:t xml:space="preserve"> </w:t>
      </w:r>
      <w:r>
        <w:rPr>
          <w:rFonts w:ascii="Times New Roman" w:hAnsi="Times New Roman" w:cs="Times New Roman"/>
          <w:sz w:val="22"/>
          <w:szCs w:val="22"/>
        </w:rPr>
        <w:t>M</w:t>
      </w:r>
      <w:r w:rsidRPr="00937461">
        <w:rPr>
          <w:rFonts w:ascii="Times New Roman" w:hAnsi="Times New Roman" w:cs="Times New Roman"/>
          <w:sz w:val="22"/>
          <w:szCs w:val="22"/>
        </w:rPr>
        <w:t xml:space="preserve">ost though not all </w:t>
      </w:r>
      <w:r>
        <w:rPr>
          <w:rFonts w:ascii="Times New Roman" w:hAnsi="Times New Roman" w:cs="Times New Roman"/>
          <w:sz w:val="22"/>
          <w:szCs w:val="22"/>
        </w:rPr>
        <w:t xml:space="preserve">oil </w:t>
      </w:r>
      <w:r w:rsidRPr="00937461">
        <w:rPr>
          <w:rFonts w:ascii="Times New Roman" w:hAnsi="Times New Roman" w:cs="Times New Roman"/>
          <w:sz w:val="22"/>
          <w:szCs w:val="22"/>
        </w:rPr>
        <w:t>revenues are rents</w:t>
      </w:r>
      <w:r>
        <w:rPr>
          <w:rFonts w:ascii="Times New Roman" w:hAnsi="Times New Roman" w:cs="Times New Roman"/>
          <w:sz w:val="22"/>
          <w:szCs w:val="22"/>
        </w:rPr>
        <w:t>:</w:t>
      </w:r>
      <w:r w:rsidRPr="00937461">
        <w:rPr>
          <w:rFonts w:ascii="Times New Roman" w:hAnsi="Times New Roman" w:cs="Times New Roman"/>
          <w:sz w:val="22"/>
          <w:szCs w:val="22"/>
        </w:rPr>
        <w:t xml:space="preserve"> it depends on the world price </w:t>
      </w:r>
      <w:r w:rsidRPr="00DA281A">
        <w:rPr>
          <w:rFonts w:ascii="Times New Roman" w:hAnsi="Times New Roman" w:cs="Times New Roman"/>
          <w:sz w:val="22"/>
          <w:szCs w:val="22"/>
        </w:rPr>
        <w:t>which will price marginal fields in or out according to their differential costs.</w:t>
      </w:r>
      <w:r>
        <w:rPr>
          <w:rFonts w:ascii="Times New Roman" w:hAnsi="Times New Roman" w:cs="Times New Roman"/>
          <w:sz w:val="22"/>
          <w:szCs w:val="22"/>
        </w:rPr>
        <w:t xml:space="preserve"> Currently, with world oil prices falling below US$50 a barrel, new investment has been cut sharply. However, many of the old fields do still yield considerable rents. Scotland’s geographical share of North Sea oil and gas production is about 90%. But Scotland will never be as fortunate as Saudi Arabia where marginal costs are a fraction of those in the North Sea but whose oil fetches the same world price for their sheikhs. UK fiscal revenues from oil peaked at £12.4bn in 2008/09 but fell to £4.7bn in 2013/14 and will be much lower than that in 2014/15. This extreme volatility would have an accentuated macroeconomic importance for Scotland if she were not closely linked to the United Kingdom and this needs to be borne in mind when considering the extent of fiscal autonomy appropriate for Scotland within the UK.</w:t>
      </w:r>
    </w:p>
  </w:footnote>
  <w:footnote w:id="5">
    <w:p w:rsidR="00FE7D32" w:rsidRPr="0061618B" w:rsidRDefault="00FE7D32" w:rsidP="00E269D7">
      <w:pPr>
        <w:pStyle w:val="FootnoteText"/>
        <w:jc w:val="both"/>
        <w:rPr>
          <w:rFonts w:ascii="Times New Roman" w:hAnsi="Times New Roman" w:cs="Times New Roman"/>
          <w:sz w:val="22"/>
          <w:szCs w:val="22"/>
        </w:rPr>
      </w:pPr>
      <w:r>
        <w:rPr>
          <w:rFonts w:ascii="Times New Roman" w:hAnsi="Times New Roman" w:cs="Times New Roman"/>
          <w:sz w:val="22"/>
          <w:szCs w:val="22"/>
        </w:rPr>
        <w:t xml:space="preserve">   </w:t>
      </w:r>
      <w:r w:rsidRPr="0061618B">
        <w:rPr>
          <w:rStyle w:val="FootnoteReference"/>
          <w:rFonts w:ascii="Times New Roman" w:hAnsi="Times New Roman" w:cs="Times New Roman"/>
          <w:sz w:val="22"/>
          <w:szCs w:val="22"/>
        </w:rPr>
        <w:footnoteRef/>
      </w:r>
      <w:r w:rsidRPr="0061618B">
        <w:rPr>
          <w:rFonts w:ascii="Times New Roman" w:hAnsi="Times New Roman" w:cs="Times New Roman"/>
          <w:sz w:val="22"/>
          <w:szCs w:val="22"/>
        </w:rPr>
        <w:t xml:space="preserve"> See the Appendix for </w:t>
      </w:r>
      <w:r>
        <w:rPr>
          <w:rFonts w:ascii="Times New Roman" w:hAnsi="Times New Roman" w:cs="Times New Roman"/>
          <w:sz w:val="22"/>
          <w:szCs w:val="22"/>
        </w:rPr>
        <w:t>brief details of the extent to which Singapore (one of the most dynamic economies in the world) charges for the use of road space for cars and harbours for ships, with a consequential alleviation of the burden of taxes on earned incomes.</w:t>
      </w:r>
    </w:p>
  </w:footnote>
  <w:footnote w:id="6">
    <w:p w:rsidR="00FE7D32" w:rsidRPr="00DA281A" w:rsidRDefault="00FE7D32" w:rsidP="00DA281A">
      <w:pPr>
        <w:pStyle w:val="NoSpacing"/>
        <w:jc w:val="both"/>
        <w:rPr>
          <w:rFonts w:ascii="Times New Roman" w:hAnsi="Times New Roman" w:cs="Times New Roman"/>
        </w:rPr>
      </w:pPr>
      <w:r>
        <w:rPr>
          <w:rFonts w:ascii="Times New Roman" w:hAnsi="Times New Roman" w:cs="Times New Roman"/>
        </w:rPr>
        <w:t xml:space="preserve">   </w:t>
      </w:r>
      <w:r w:rsidRPr="00DA281A">
        <w:rPr>
          <w:rStyle w:val="FootnoteReference"/>
          <w:rFonts w:ascii="Times New Roman" w:hAnsi="Times New Roman" w:cs="Times New Roman"/>
        </w:rPr>
        <w:footnoteRef/>
      </w:r>
      <w:r w:rsidRPr="00DA281A">
        <w:rPr>
          <w:rFonts w:ascii="Times New Roman" w:hAnsi="Times New Roman" w:cs="Times New Roman"/>
        </w:rPr>
        <w:t xml:space="preserve"> In principle, </w:t>
      </w:r>
      <w:r>
        <w:rPr>
          <w:rFonts w:ascii="Times New Roman" w:hAnsi="Times New Roman" w:cs="Times New Roman"/>
        </w:rPr>
        <w:t xml:space="preserve">when the state collects </w:t>
      </w:r>
      <w:r w:rsidRPr="00DA281A">
        <w:rPr>
          <w:rFonts w:ascii="Times New Roman" w:hAnsi="Times New Roman" w:cs="Times New Roman"/>
        </w:rPr>
        <w:t>land rents</w:t>
      </w:r>
      <w:r>
        <w:rPr>
          <w:rFonts w:ascii="Times New Roman" w:hAnsi="Times New Roman" w:cs="Times New Roman"/>
        </w:rPr>
        <w:t xml:space="preserve"> this</w:t>
      </w:r>
      <w:r w:rsidRPr="00DA281A">
        <w:rPr>
          <w:rFonts w:ascii="Times New Roman" w:hAnsi="Times New Roman" w:cs="Times New Roman"/>
        </w:rPr>
        <w:t xml:space="preserve"> </w:t>
      </w:r>
      <w:r>
        <w:rPr>
          <w:rFonts w:ascii="Times New Roman" w:hAnsi="Times New Roman" w:cs="Times New Roman"/>
        </w:rPr>
        <w:t>is not</w:t>
      </w:r>
      <w:r w:rsidRPr="00DA281A">
        <w:rPr>
          <w:rFonts w:ascii="Times New Roman" w:hAnsi="Times New Roman" w:cs="Times New Roman"/>
        </w:rPr>
        <w:t xml:space="preserve"> taxation in the strict sense of the word – as a mandatory levy that has no necessary or fully compensating benefit. In this sense taxes differ from fees or the prices </w:t>
      </w:r>
      <w:r>
        <w:rPr>
          <w:rFonts w:ascii="Times New Roman" w:hAnsi="Times New Roman" w:cs="Times New Roman"/>
        </w:rPr>
        <w:t xml:space="preserve">paid </w:t>
      </w:r>
      <w:r w:rsidRPr="00DA281A">
        <w:rPr>
          <w:rFonts w:ascii="Times New Roman" w:hAnsi="Times New Roman" w:cs="Times New Roman"/>
        </w:rPr>
        <w:t xml:space="preserve">for goods or services that yield perceived direct and corresponding benefits. </w:t>
      </w:r>
      <w:r>
        <w:rPr>
          <w:rFonts w:ascii="Times New Roman" w:hAnsi="Times New Roman" w:cs="Times New Roman"/>
        </w:rPr>
        <w:t>We</w:t>
      </w:r>
      <w:r w:rsidRPr="00DA281A">
        <w:rPr>
          <w:rFonts w:ascii="Times New Roman" w:hAnsi="Times New Roman" w:cs="Times New Roman"/>
        </w:rPr>
        <w:t xml:space="preserve"> equate </w:t>
      </w:r>
      <w:r>
        <w:rPr>
          <w:rFonts w:ascii="Times New Roman" w:hAnsi="Times New Roman" w:cs="Times New Roman"/>
        </w:rPr>
        <w:t>our</w:t>
      </w:r>
      <w:r w:rsidRPr="00DA281A">
        <w:rPr>
          <w:rFonts w:ascii="Times New Roman" w:hAnsi="Times New Roman" w:cs="Times New Roman"/>
        </w:rPr>
        <w:t xml:space="preserve"> expected benefit from clothes or food to the price</w:t>
      </w:r>
      <w:r>
        <w:rPr>
          <w:rFonts w:ascii="Times New Roman" w:hAnsi="Times New Roman" w:cs="Times New Roman"/>
        </w:rPr>
        <w:t xml:space="preserve"> we must pay for them</w:t>
      </w:r>
      <w:r w:rsidRPr="00DA281A">
        <w:rPr>
          <w:rFonts w:ascii="Times New Roman" w:hAnsi="Times New Roman" w:cs="Times New Roman"/>
        </w:rPr>
        <w:t xml:space="preserve">. </w:t>
      </w:r>
    </w:p>
    <w:p w:rsidR="00FE7D32" w:rsidRPr="00DA281A" w:rsidRDefault="00FE7D32" w:rsidP="00DA281A">
      <w:pPr>
        <w:pStyle w:val="NoSpacing"/>
        <w:jc w:val="both"/>
        <w:rPr>
          <w:rFonts w:ascii="Times New Roman" w:hAnsi="Times New Roman" w:cs="Times New Roman"/>
        </w:rPr>
      </w:pPr>
      <w:r>
        <w:rPr>
          <w:rFonts w:ascii="Times New Roman" w:hAnsi="Times New Roman" w:cs="Times New Roman"/>
        </w:rPr>
        <w:t xml:space="preserve">  </w:t>
      </w:r>
      <w:r w:rsidRPr="00DA281A">
        <w:rPr>
          <w:rFonts w:ascii="Times New Roman" w:hAnsi="Times New Roman" w:cs="Times New Roman"/>
        </w:rPr>
        <w:t xml:space="preserve">The higher price of a ticket for a better seat at the theatre or an hour of downtown parking is the fee or user charge for </w:t>
      </w:r>
      <w:r>
        <w:rPr>
          <w:rFonts w:ascii="Times New Roman" w:hAnsi="Times New Roman" w:cs="Times New Roman"/>
        </w:rPr>
        <w:t xml:space="preserve">its expected </w:t>
      </w:r>
      <w:r w:rsidRPr="00DA281A">
        <w:rPr>
          <w:rFonts w:ascii="Times New Roman" w:hAnsi="Times New Roman" w:cs="Times New Roman"/>
        </w:rPr>
        <w:t xml:space="preserve">benefits. Likewise, the higher rent for living or conducting business in superior locations is in return for correspondingly high expected benefits. </w:t>
      </w:r>
    </w:p>
    <w:p w:rsidR="00FE7D32" w:rsidRPr="00DA281A" w:rsidRDefault="00FE7D32" w:rsidP="00DA281A">
      <w:pPr>
        <w:pStyle w:val="NoSpacing"/>
        <w:jc w:val="both"/>
        <w:rPr>
          <w:rFonts w:ascii="Times New Roman" w:hAnsi="Times New Roman" w:cs="Times New Roman"/>
        </w:rPr>
      </w:pPr>
      <w:r>
        <w:rPr>
          <w:rFonts w:ascii="Times New Roman" w:hAnsi="Times New Roman" w:cs="Times New Roman"/>
        </w:rPr>
        <w:t xml:space="preserve">  </w:t>
      </w:r>
      <w:r w:rsidRPr="00DA281A">
        <w:rPr>
          <w:rFonts w:ascii="Times New Roman" w:hAnsi="Times New Roman" w:cs="Times New Roman"/>
        </w:rPr>
        <w:t>Not so when I am compelled to pay a tax on every dollar I earn as wages from my labour, or profits on my enterprise, or VAT on my purchases of goods.</w:t>
      </w:r>
    </w:p>
  </w:footnote>
  <w:footnote w:id="7">
    <w:p w:rsidR="00FE7D32" w:rsidRDefault="00FE7D32" w:rsidP="00DA281A">
      <w:pPr>
        <w:pStyle w:val="FootnoteText"/>
        <w:jc w:val="both"/>
      </w:pPr>
      <w:r>
        <w:rPr>
          <w:rFonts w:ascii="Times New Roman" w:hAnsi="Times New Roman" w:cs="Times New Roman"/>
          <w:sz w:val="22"/>
          <w:szCs w:val="22"/>
        </w:rPr>
        <w:t xml:space="preserve">   </w:t>
      </w:r>
      <w:r w:rsidRPr="00DA281A">
        <w:rPr>
          <w:rStyle w:val="FootnoteReference"/>
          <w:rFonts w:ascii="Times New Roman" w:hAnsi="Times New Roman" w:cs="Times New Roman"/>
          <w:sz w:val="22"/>
          <w:szCs w:val="22"/>
        </w:rPr>
        <w:footnoteRef/>
      </w:r>
      <w:r w:rsidRPr="00DA281A">
        <w:rPr>
          <w:rFonts w:ascii="Times New Roman" w:hAnsi="Times New Roman" w:cs="Times New Roman"/>
          <w:sz w:val="22"/>
          <w:szCs w:val="22"/>
        </w:rPr>
        <w:t xml:space="preserve"> VAT and sales taxes increase product prices. So these taxes also reduce real wages and profits below their market-clearing levels, again causing a fall in the supply of labour, capital, and output.</w:t>
      </w:r>
      <w:r>
        <w:t xml:space="preserve"> </w:t>
      </w:r>
    </w:p>
  </w:footnote>
  <w:footnote w:id="8">
    <w:p w:rsidR="00FE7D32" w:rsidRDefault="00FE7D32" w:rsidP="00FF2D7B">
      <w:pPr>
        <w:pStyle w:val="FootnoteText"/>
        <w:jc w:val="both"/>
        <w:rPr>
          <w:rFonts w:ascii="Times New Roman" w:hAnsi="Times New Roman" w:cs="Times New Roman"/>
          <w:sz w:val="22"/>
          <w:szCs w:val="22"/>
        </w:rPr>
      </w:pPr>
      <w:r>
        <w:rPr>
          <w:rFonts w:ascii="Times New Roman" w:hAnsi="Times New Roman" w:cs="Times New Roman"/>
          <w:sz w:val="22"/>
          <w:szCs w:val="22"/>
        </w:rPr>
        <w:t xml:space="preserve">   </w:t>
      </w:r>
      <w:r w:rsidRPr="00B61667">
        <w:rPr>
          <w:rStyle w:val="FootnoteReference"/>
          <w:rFonts w:ascii="Times New Roman" w:hAnsi="Times New Roman" w:cs="Times New Roman"/>
          <w:sz w:val="22"/>
          <w:szCs w:val="22"/>
        </w:rPr>
        <w:footnoteRef/>
      </w:r>
      <w:r w:rsidRPr="00B61667">
        <w:rPr>
          <w:rFonts w:ascii="Times New Roman" w:hAnsi="Times New Roman" w:cs="Times New Roman"/>
          <w:sz w:val="22"/>
          <w:szCs w:val="22"/>
        </w:rPr>
        <w:t xml:space="preserve"> </w:t>
      </w:r>
      <w:r>
        <w:rPr>
          <w:rFonts w:ascii="Times New Roman" w:hAnsi="Times New Roman" w:cs="Times New Roman"/>
          <w:sz w:val="22"/>
          <w:szCs w:val="22"/>
        </w:rPr>
        <w:t>B</w:t>
      </w:r>
      <w:r w:rsidRPr="00B61667">
        <w:rPr>
          <w:rFonts w:ascii="Times New Roman" w:hAnsi="Times New Roman" w:cs="Times New Roman"/>
          <w:sz w:val="22"/>
          <w:szCs w:val="22"/>
        </w:rPr>
        <w:t>etween 1996 and 2012</w:t>
      </w:r>
      <w:r>
        <w:rPr>
          <w:rFonts w:ascii="Times New Roman" w:hAnsi="Times New Roman" w:cs="Times New Roman"/>
          <w:sz w:val="22"/>
          <w:szCs w:val="22"/>
        </w:rPr>
        <w:t xml:space="preserve">, for example, the “house” price index rose by 166% (see Table 2). Meanwhile, </w:t>
      </w:r>
      <w:r w:rsidRPr="00B61667">
        <w:rPr>
          <w:rFonts w:ascii="Times New Roman" w:hAnsi="Times New Roman" w:cs="Times New Roman"/>
          <w:sz w:val="22"/>
          <w:szCs w:val="22"/>
        </w:rPr>
        <w:t xml:space="preserve">the price index for manufactured goods rose by 32% while prices </w:t>
      </w:r>
      <w:r>
        <w:rPr>
          <w:rFonts w:ascii="Times New Roman" w:hAnsi="Times New Roman" w:cs="Times New Roman"/>
          <w:sz w:val="22"/>
          <w:szCs w:val="22"/>
        </w:rPr>
        <w:t>overall rose by 40%. (</w:t>
      </w:r>
      <w:hyperlink r:id="rId1" w:history="1">
        <w:r w:rsidRPr="001D02B2">
          <w:rPr>
            <w:rStyle w:val="Hyperlink"/>
            <w:rFonts w:ascii="Times New Roman" w:hAnsi="Times New Roman" w:cs="Times New Roman"/>
            <w:sz w:val="22"/>
            <w:szCs w:val="22"/>
          </w:rPr>
          <w:t>www.ons.gov.uk/ons/datasets-and-tables/data-selector.html?cdid=JVZ7&amp;dataset=ppi&amp;table-id=4</w:t>
        </w:r>
      </w:hyperlink>
      <w:r>
        <w:rPr>
          <w:rStyle w:val="Hyperlink"/>
          <w:rFonts w:ascii="Times New Roman" w:hAnsi="Times New Roman" w:cs="Times New Roman"/>
          <w:sz w:val="22"/>
          <w:szCs w:val="22"/>
        </w:rPr>
        <w:t>.)</w:t>
      </w:r>
      <w:r>
        <w:rPr>
          <w:rFonts w:ascii="Times New Roman" w:hAnsi="Times New Roman" w:cs="Times New Roman"/>
          <w:sz w:val="22"/>
          <w:szCs w:val="22"/>
        </w:rPr>
        <w:t xml:space="preserve"> This indicates </w:t>
      </w:r>
      <w:r w:rsidRPr="00B61667">
        <w:rPr>
          <w:rFonts w:ascii="Times New Roman" w:hAnsi="Times New Roman" w:cs="Times New Roman"/>
          <w:sz w:val="22"/>
          <w:szCs w:val="22"/>
        </w:rPr>
        <w:t>a fall in the relative price</w:t>
      </w:r>
      <w:r>
        <w:rPr>
          <w:rFonts w:ascii="Times New Roman" w:hAnsi="Times New Roman" w:cs="Times New Roman"/>
          <w:sz w:val="22"/>
          <w:szCs w:val="22"/>
        </w:rPr>
        <w:t xml:space="preserve"> of manufactures (including building materials) but a very large rise in the relative price of “houses”. </w:t>
      </w:r>
      <w:r w:rsidRPr="00B61667">
        <w:rPr>
          <w:rFonts w:ascii="Times New Roman" w:hAnsi="Times New Roman" w:cs="Times New Roman"/>
          <w:sz w:val="22"/>
          <w:szCs w:val="22"/>
        </w:rPr>
        <w:t xml:space="preserve"> </w:t>
      </w:r>
      <w:r>
        <w:rPr>
          <w:rFonts w:ascii="Times New Roman" w:hAnsi="Times New Roman" w:cs="Times New Roman"/>
          <w:sz w:val="22"/>
          <w:szCs w:val="22"/>
        </w:rPr>
        <w:t>This implies that the price of land must have risen by even more than the 166% increase in the “house” price index.</w:t>
      </w:r>
    </w:p>
    <w:p w:rsidR="00FE7D32" w:rsidRPr="00B61667" w:rsidRDefault="00FE7D32">
      <w:pPr>
        <w:pStyle w:val="FootnoteText"/>
        <w:rPr>
          <w:rFonts w:ascii="Times New Roman" w:hAnsi="Times New Roman" w:cs="Times New Roman"/>
          <w:sz w:val="22"/>
          <w:szCs w:val="22"/>
        </w:rPr>
      </w:pPr>
    </w:p>
  </w:footnote>
  <w:footnote w:id="9">
    <w:p w:rsidR="00FE7D32" w:rsidRPr="00590E27" w:rsidRDefault="00FE7D32" w:rsidP="00AA3240">
      <w:pPr>
        <w:pStyle w:val="FootnoteText"/>
        <w:jc w:val="both"/>
        <w:rPr>
          <w:rFonts w:ascii="Times New Roman" w:hAnsi="Times New Roman" w:cs="Times New Roman"/>
          <w:sz w:val="22"/>
          <w:szCs w:val="22"/>
        </w:rPr>
      </w:pPr>
      <w:r>
        <w:rPr>
          <w:rFonts w:ascii="Times New Roman" w:hAnsi="Times New Roman" w:cs="Times New Roman"/>
          <w:sz w:val="22"/>
          <w:szCs w:val="22"/>
        </w:rPr>
        <w:t xml:space="preserve">   </w:t>
      </w:r>
      <w:r w:rsidRPr="00B61667">
        <w:rPr>
          <w:rStyle w:val="FootnoteReference"/>
          <w:rFonts w:ascii="Times New Roman" w:hAnsi="Times New Roman" w:cs="Times New Roman"/>
          <w:sz w:val="22"/>
          <w:szCs w:val="22"/>
        </w:rPr>
        <w:footnoteRef/>
      </w:r>
      <w:r w:rsidRPr="00B61667">
        <w:rPr>
          <w:rFonts w:ascii="Times New Roman" w:hAnsi="Times New Roman" w:cs="Times New Roman"/>
          <w:sz w:val="22"/>
          <w:szCs w:val="22"/>
        </w:rPr>
        <w:t xml:space="preserve"> ONS data show that the current UK average house price was £4975 in 1970 and £251,634 in 2011, a 50-fold increase: see </w:t>
      </w:r>
      <w:hyperlink r:id="rId2" w:history="1">
        <w:r w:rsidRPr="00B61667">
          <w:rPr>
            <w:rStyle w:val="Hyperlink"/>
            <w:rFonts w:ascii="Times New Roman" w:hAnsi="Times New Roman" w:cs="Times New Roman"/>
            <w:sz w:val="22"/>
            <w:szCs w:val="22"/>
          </w:rPr>
          <w:t>www.gov.</w:t>
        </w:r>
        <w:r w:rsidRPr="00B61667">
          <w:rPr>
            <w:rStyle w:val="Hyperlink"/>
            <w:rFonts w:ascii="Times New Roman" w:hAnsi="Times New Roman" w:cs="Times New Roman"/>
            <w:b/>
            <w:bCs/>
            <w:sz w:val="22"/>
            <w:szCs w:val="22"/>
          </w:rPr>
          <w:t>uk</w:t>
        </w:r>
        <w:r w:rsidRPr="00B61667">
          <w:rPr>
            <w:rStyle w:val="Hyperlink"/>
            <w:rFonts w:ascii="Times New Roman" w:hAnsi="Times New Roman" w:cs="Times New Roman"/>
            <w:sz w:val="22"/>
            <w:szCs w:val="22"/>
          </w:rPr>
          <w:t>/government/uploads/.../Table_502_-_ONS.xls</w:t>
        </w:r>
      </w:hyperlink>
      <w:r w:rsidRPr="00B61667">
        <w:rPr>
          <w:rStyle w:val="HTMLCite"/>
          <w:rFonts w:ascii="Times New Roman" w:hAnsi="Times New Roman" w:cs="Times New Roman"/>
          <w:color w:val="222222"/>
          <w:sz w:val="22"/>
          <w:szCs w:val="22"/>
        </w:rPr>
        <w:t>.</w:t>
      </w:r>
      <w:r w:rsidRPr="00B61667">
        <w:rPr>
          <w:rStyle w:val="HTMLCite"/>
          <w:rFonts w:ascii="Times New Roman" w:hAnsi="Times New Roman" w:cs="Times New Roman"/>
          <w:i w:val="0"/>
          <w:color w:val="222222"/>
          <w:sz w:val="22"/>
          <w:szCs w:val="22"/>
        </w:rPr>
        <w:t xml:space="preserve"> </w:t>
      </w:r>
      <w:r>
        <w:rPr>
          <w:rStyle w:val="HTMLCite"/>
          <w:rFonts w:ascii="Times New Roman" w:hAnsi="Times New Roman" w:cs="Times New Roman"/>
          <w:i w:val="0"/>
          <w:color w:val="222222"/>
          <w:sz w:val="22"/>
          <w:szCs w:val="22"/>
        </w:rPr>
        <w:t>From Table 2 above</w:t>
      </w:r>
      <w:r w:rsidRPr="00B61667">
        <w:rPr>
          <w:rStyle w:val="HTMLCite"/>
          <w:rFonts w:ascii="Times New Roman" w:hAnsi="Times New Roman" w:cs="Times New Roman"/>
          <w:i w:val="0"/>
          <w:color w:val="222222"/>
          <w:sz w:val="22"/>
          <w:szCs w:val="22"/>
        </w:rPr>
        <w:t>, the annual average house price inflation rate</w:t>
      </w:r>
      <w:r>
        <w:rPr>
          <w:rStyle w:val="HTMLCite"/>
          <w:rFonts w:ascii="Times New Roman" w:hAnsi="Times New Roman" w:cs="Times New Roman"/>
          <w:i w:val="0"/>
          <w:color w:val="222222"/>
          <w:sz w:val="22"/>
          <w:szCs w:val="22"/>
        </w:rPr>
        <w:t>, 1970-2012,</w:t>
      </w:r>
      <w:r w:rsidRPr="00B61667">
        <w:rPr>
          <w:rStyle w:val="HTMLCite"/>
          <w:rFonts w:ascii="Times New Roman" w:hAnsi="Times New Roman" w:cs="Times New Roman"/>
          <w:i w:val="0"/>
          <w:color w:val="222222"/>
          <w:sz w:val="22"/>
          <w:szCs w:val="22"/>
        </w:rPr>
        <w:t xml:space="preserve"> was 9.8% </w:t>
      </w:r>
      <w:r w:rsidRPr="00590E27">
        <w:rPr>
          <w:rStyle w:val="HTMLCite"/>
          <w:rFonts w:ascii="Times New Roman" w:hAnsi="Times New Roman" w:cs="Times New Roman"/>
          <w:i w:val="0"/>
          <w:color w:val="222222"/>
          <w:sz w:val="22"/>
          <w:szCs w:val="22"/>
        </w:rPr>
        <w:t>while the annual average GDP deflator was 6.7%. The difference of 3.1 percentage points has produced a very strong secular skew in the distribution of wealth between home owners and the rest.</w:t>
      </w:r>
    </w:p>
  </w:footnote>
  <w:footnote w:id="10">
    <w:p w:rsidR="00FE7D32" w:rsidRDefault="00FE7D32" w:rsidP="00590E27">
      <w:pPr>
        <w:pStyle w:val="FootnoteText"/>
        <w:jc w:val="both"/>
      </w:pPr>
      <w:r w:rsidRPr="00590E27">
        <w:rPr>
          <w:rFonts w:ascii="Times New Roman" w:hAnsi="Times New Roman" w:cs="Times New Roman"/>
        </w:rPr>
        <w:t xml:space="preserve">   </w:t>
      </w:r>
      <w:r w:rsidRPr="00590E27">
        <w:rPr>
          <w:rStyle w:val="FootnoteReference"/>
          <w:rFonts w:ascii="Times New Roman" w:hAnsi="Times New Roman" w:cs="Times New Roman"/>
        </w:rPr>
        <w:footnoteRef/>
      </w:r>
      <w:r w:rsidRPr="00590E27">
        <w:rPr>
          <w:rFonts w:ascii="Times New Roman" w:hAnsi="Times New Roman" w:cs="Times New Roman"/>
        </w:rPr>
        <w:t xml:space="preserve"> “Inequalities in Scotland: New perspectives”. Paper for the David Hume Institute, Edinburgh, 2014, at </w:t>
      </w:r>
      <w:hyperlink r:id="rId3" w:history="1">
        <w:r w:rsidRPr="00590E27">
          <w:rPr>
            <w:rStyle w:val="Hyperlink"/>
            <w:rFonts w:ascii="Times New Roman" w:hAnsi="Times New Roman" w:cs="Times New Roman"/>
          </w:rPr>
          <w:t>http://www.davidhumeinstitute.com/images/stories/publications/other/DHI_Paper.pdf</w:t>
        </w:r>
      </w:hyperlink>
      <w:r>
        <w:t xml:space="preserve"> </w:t>
      </w:r>
    </w:p>
  </w:footnote>
  <w:footnote w:id="11">
    <w:p w:rsidR="00FE7D32" w:rsidRPr="002823D1" w:rsidRDefault="00FE7D32" w:rsidP="0071564B">
      <w:pPr>
        <w:pStyle w:val="FootnoteText"/>
        <w:jc w:val="both"/>
        <w:rPr>
          <w:rFonts w:ascii="Times New Roman" w:hAnsi="Times New Roman" w:cs="Times New Roman"/>
          <w:b/>
          <w:sz w:val="22"/>
          <w:szCs w:val="22"/>
        </w:rPr>
      </w:pPr>
      <w:r w:rsidRPr="00085EED">
        <w:rPr>
          <w:rStyle w:val="FootnoteReference"/>
          <w:rFonts w:ascii="Times New Roman" w:hAnsi="Times New Roman" w:cs="Times New Roman"/>
          <w:sz w:val="22"/>
          <w:szCs w:val="22"/>
        </w:rPr>
        <w:footnoteRef/>
      </w:r>
      <w:r w:rsidRPr="00085EED">
        <w:rPr>
          <w:rFonts w:ascii="Times New Roman" w:hAnsi="Times New Roman" w:cs="Times New Roman"/>
          <w:sz w:val="22"/>
          <w:szCs w:val="22"/>
        </w:rPr>
        <w:t xml:space="preserve"> </w:t>
      </w:r>
      <w:r>
        <w:rPr>
          <w:rFonts w:ascii="Times New Roman" w:hAnsi="Times New Roman" w:cs="Times New Roman"/>
          <w:sz w:val="22"/>
          <w:szCs w:val="22"/>
        </w:rPr>
        <w:t xml:space="preserve">Recall </w:t>
      </w:r>
      <w:r w:rsidRPr="00085EED">
        <w:rPr>
          <w:rFonts w:ascii="Times New Roman" w:hAnsi="Times New Roman" w:cs="Times New Roman"/>
          <w:sz w:val="22"/>
          <w:szCs w:val="22"/>
        </w:rPr>
        <w:t>that</w:t>
      </w:r>
      <w:r>
        <w:rPr>
          <w:rFonts w:ascii="Times New Roman" w:hAnsi="Times New Roman" w:cs="Times New Roman"/>
          <w:sz w:val="22"/>
          <w:szCs w:val="22"/>
        </w:rPr>
        <w:t xml:space="preserve"> </w:t>
      </w:r>
      <w:r w:rsidRPr="00085EED">
        <w:rPr>
          <w:rFonts w:ascii="Times New Roman" w:hAnsi="Times New Roman" w:cs="Times New Roman"/>
          <w:sz w:val="22"/>
          <w:szCs w:val="22"/>
        </w:rPr>
        <w:t xml:space="preserve">annual growth </w:t>
      </w:r>
      <w:r>
        <w:rPr>
          <w:rFonts w:ascii="Times New Roman" w:hAnsi="Times New Roman" w:cs="Times New Roman"/>
          <w:sz w:val="22"/>
          <w:szCs w:val="22"/>
        </w:rPr>
        <w:t xml:space="preserve">has been much faster than in the UK in </w:t>
      </w:r>
      <w:r w:rsidRPr="00085EED">
        <w:rPr>
          <w:rFonts w:ascii="Times New Roman" w:hAnsi="Times New Roman" w:cs="Times New Roman"/>
          <w:sz w:val="22"/>
          <w:szCs w:val="22"/>
        </w:rPr>
        <w:t>economies such as Hong Kong and Singapore, where a far greater p</w:t>
      </w:r>
      <w:r>
        <w:rPr>
          <w:rFonts w:ascii="Times New Roman" w:hAnsi="Times New Roman" w:cs="Times New Roman"/>
          <w:sz w:val="22"/>
          <w:szCs w:val="22"/>
        </w:rPr>
        <w:t>roportion of government revenue</w:t>
      </w:r>
      <w:r w:rsidRPr="00085EED">
        <w:rPr>
          <w:rFonts w:ascii="Times New Roman" w:hAnsi="Times New Roman" w:cs="Times New Roman"/>
          <w:sz w:val="22"/>
          <w:szCs w:val="22"/>
        </w:rPr>
        <w:t xml:space="preserve"> come</w:t>
      </w:r>
      <w:r>
        <w:rPr>
          <w:rFonts w:ascii="Times New Roman" w:hAnsi="Times New Roman" w:cs="Times New Roman"/>
          <w:sz w:val="22"/>
          <w:szCs w:val="22"/>
        </w:rPr>
        <w:t>s</w:t>
      </w:r>
      <w:r w:rsidRPr="00085EED">
        <w:rPr>
          <w:rFonts w:ascii="Times New Roman" w:hAnsi="Times New Roman" w:cs="Times New Roman"/>
          <w:sz w:val="22"/>
          <w:szCs w:val="22"/>
        </w:rPr>
        <w:t xml:space="preserve"> from rent of land or th</w:t>
      </w:r>
      <w:r>
        <w:rPr>
          <w:rFonts w:ascii="Times New Roman" w:hAnsi="Times New Roman" w:cs="Times New Roman"/>
          <w:sz w:val="22"/>
          <w:szCs w:val="22"/>
        </w:rPr>
        <w:t xml:space="preserve">e leasehold sale of public land. The annual average growth rate for Singapore, 1970-2012, was 7.6 percent (6 percent in per capita terms), instead </w:t>
      </w:r>
      <w:r w:rsidRPr="00085EED">
        <w:rPr>
          <w:rFonts w:ascii="Times New Roman" w:hAnsi="Times New Roman" w:cs="Times New Roman"/>
          <w:sz w:val="22"/>
          <w:szCs w:val="22"/>
        </w:rPr>
        <w:t xml:space="preserve">of the more typical one or two percent in countries </w:t>
      </w:r>
      <w:r w:rsidRPr="00B7528A">
        <w:rPr>
          <w:rFonts w:ascii="Times New Roman" w:hAnsi="Times New Roman" w:cs="Times New Roman"/>
          <w:sz w:val="22"/>
          <w:szCs w:val="22"/>
        </w:rPr>
        <w:t>more reliant on disincentive taxation. In real terms, Singapore’s per capita income in constant US$ (base year 2011</w:t>
      </w:r>
      <w:r>
        <w:rPr>
          <w:rFonts w:ascii="Times New Roman" w:hAnsi="Times New Roman" w:cs="Times New Roman"/>
          <w:sz w:val="22"/>
          <w:szCs w:val="22"/>
        </w:rPr>
        <w:t xml:space="preserve">) rose </w:t>
      </w:r>
      <w:r w:rsidRPr="0071564B">
        <w:rPr>
          <w:rFonts w:ascii="Times New Roman" w:hAnsi="Times New Roman" w:cs="Times New Roman"/>
          <w:sz w:val="22"/>
          <w:szCs w:val="22"/>
        </w:rPr>
        <w:t>from US$</w:t>
      </w:r>
      <w:r>
        <w:rPr>
          <w:rFonts w:ascii="Times New Roman" w:hAnsi="Times New Roman" w:cs="Times New Roman"/>
          <w:sz w:val="22"/>
          <w:szCs w:val="22"/>
        </w:rPr>
        <w:t>6,708</w:t>
      </w:r>
      <w:r w:rsidRPr="0071564B">
        <w:rPr>
          <w:rFonts w:ascii="Times New Roman" w:hAnsi="Times New Roman" w:cs="Times New Roman"/>
          <w:sz w:val="22"/>
          <w:szCs w:val="22"/>
        </w:rPr>
        <w:t xml:space="preserve"> in 1970 to US$</w:t>
      </w:r>
      <w:r>
        <w:rPr>
          <w:rFonts w:ascii="Times New Roman" w:hAnsi="Times New Roman" w:cs="Times New Roman"/>
          <w:sz w:val="22"/>
          <w:szCs w:val="22"/>
        </w:rPr>
        <w:t>48,630 in 2011</w:t>
      </w:r>
      <w:r w:rsidRPr="0071564B">
        <w:rPr>
          <w:rFonts w:ascii="Times New Roman" w:hAnsi="Times New Roman" w:cs="Times New Roman"/>
          <w:sz w:val="22"/>
          <w:szCs w:val="22"/>
        </w:rPr>
        <w:t xml:space="preserve">, </w:t>
      </w:r>
      <w:r w:rsidRPr="0071564B">
        <w:rPr>
          <w:rFonts w:ascii="Times New Roman" w:hAnsi="Times New Roman" w:cs="Times New Roman"/>
          <w:b/>
          <w:sz w:val="22"/>
          <w:szCs w:val="22"/>
        </w:rPr>
        <w:t>a real increase of 625 percent.</w:t>
      </w:r>
      <w:r>
        <w:rPr>
          <w:rFonts w:ascii="Times New Roman" w:hAnsi="Times New Roman" w:cs="Times New Roman"/>
          <w:sz w:val="22"/>
          <w:szCs w:val="22"/>
        </w:rPr>
        <w:t xml:space="preserve"> </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See </w:t>
      </w:r>
      <w:hyperlink r:id="rId4" w:history="1">
        <w:r w:rsidRPr="00C20F0B">
          <w:rPr>
            <w:rStyle w:val="Hyperlink"/>
            <w:rFonts w:ascii="Times New Roman" w:hAnsi="Times New Roman" w:cs="Times New Roman"/>
            <w:sz w:val="22"/>
            <w:szCs w:val="22"/>
          </w:rPr>
          <w:t>http://www.indexmundi.com/facts/singapore/gdp-per-capita</w:t>
        </w:r>
      </w:hyperlink>
      <w:r>
        <w:rPr>
          <w:rFonts w:ascii="Times New Roman" w:hAnsi="Times New Roman" w:cs="Times New Roman"/>
          <w:sz w:val="22"/>
          <w:szCs w:val="22"/>
        </w:rPr>
        <w:t xml:space="preserve"> together with World Bank 2011 data: </w:t>
      </w:r>
      <w:hyperlink r:id="rId5" w:history="1">
        <w:r w:rsidRPr="004B5E80">
          <w:rPr>
            <w:rStyle w:val="Hyperlink"/>
            <w:rFonts w:ascii="Times New Roman" w:hAnsi="Times New Roman" w:cs="Times New Roman"/>
            <w:sz w:val="22"/>
            <w:szCs w:val="22"/>
          </w:rPr>
          <w:t>http://data.worldbank.org/country</w:t>
        </w:r>
      </w:hyperlink>
      <w:r>
        <w:rPr>
          <w:rFonts w:ascii="Times New Roman" w:hAnsi="Times New Roman" w:cs="Times New Roman"/>
          <w:sz w:val="22"/>
          <w:szCs w:val="22"/>
        </w:rPr>
        <w:t xml:space="preserve">. </w:t>
      </w:r>
      <w:r w:rsidRPr="0071564B">
        <w:rPr>
          <w:rFonts w:ascii="Times New Roman" w:hAnsi="Times New Roman" w:cs="Times New Roman"/>
          <w:b/>
          <w:sz w:val="22"/>
          <w:szCs w:val="22"/>
        </w:rPr>
        <w:t>The comparable figures for the UK were US$1</w:t>
      </w:r>
      <w:r>
        <w:rPr>
          <w:rFonts w:ascii="Times New Roman" w:hAnsi="Times New Roman" w:cs="Times New Roman"/>
          <w:b/>
          <w:sz w:val="22"/>
          <w:szCs w:val="22"/>
        </w:rPr>
        <w:t>9</w:t>
      </w:r>
      <w:r w:rsidRPr="0071564B">
        <w:rPr>
          <w:rFonts w:ascii="Times New Roman" w:hAnsi="Times New Roman" w:cs="Times New Roman"/>
          <w:b/>
          <w:sz w:val="22"/>
          <w:szCs w:val="22"/>
        </w:rPr>
        <w:t>,198 in 1970 and US$</w:t>
      </w:r>
      <w:r>
        <w:rPr>
          <w:rFonts w:ascii="Times New Roman" w:hAnsi="Times New Roman" w:cs="Times New Roman"/>
          <w:b/>
          <w:sz w:val="22"/>
          <w:szCs w:val="22"/>
        </w:rPr>
        <w:t>41</w:t>
      </w:r>
      <w:r w:rsidR="006F1366">
        <w:rPr>
          <w:rFonts w:ascii="Times New Roman" w:hAnsi="Times New Roman" w:cs="Times New Roman"/>
          <w:b/>
          <w:sz w:val="22"/>
          <w:szCs w:val="22"/>
        </w:rPr>
        <w:t>,</w:t>
      </w:r>
      <w:r>
        <w:rPr>
          <w:rFonts w:ascii="Times New Roman" w:hAnsi="Times New Roman" w:cs="Times New Roman"/>
          <w:b/>
          <w:sz w:val="22"/>
          <w:szCs w:val="22"/>
        </w:rPr>
        <w:t>680</w:t>
      </w:r>
      <w:r w:rsidRPr="0071564B">
        <w:rPr>
          <w:rFonts w:ascii="Times New Roman" w:hAnsi="Times New Roman" w:cs="Times New Roman"/>
          <w:b/>
          <w:sz w:val="22"/>
          <w:szCs w:val="22"/>
        </w:rPr>
        <w:t xml:space="preserve"> in 2011, a far more modest increase of 116%. This meant that the UK, initially </w:t>
      </w:r>
      <w:r>
        <w:rPr>
          <w:rFonts w:ascii="Times New Roman" w:hAnsi="Times New Roman" w:cs="Times New Roman"/>
          <w:b/>
          <w:sz w:val="22"/>
          <w:szCs w:val="22"/>
        </w:rPr>
        <w:t xml:space="preserve">nearly </w:t>
      </w:r>
      <w:r w:rsidRPr="0071564B">
        <w:rPr>
          <w:rFonts w:ascii="Times New Roman" w:hAnsi="Times New Roman" w:cs="Times New Roman"/>
          <w:b/>
          <w:sz w:val="22"/>
          <w:szCs w:val="22"/>
        </w:rPr>
        <w:t>three times richer tha</w:t>
      </w:r>
      <w:r>
        <w:rPr>
          <w:rFonts w:ascii="Times New Roman" w:hAnsi="Times New Roman" w:cs="Times New Roman"/>
          <w:b/>
          <w:sz w:val="22"/>
          <w:szCs w:val="22"/>
        </w:rPr>
        <w:t>n Singapore in 1970, ended up 17</w:t>
      </w:r>
      <w:r w:rsidRPr="0071564B">
        <w:rPr>
          <w:rFonts w:ascii="Times New Roman" w:hAnsi="Times New Roman" w:cs="Times New Roman"/>
          <w:b/>
          <w:sz w:val="22"/>
          <w:szCs w:val="22"/>
        </w:rPr>
        <w:t>% poorer</w:t>
      </w:r>
      <w:r>
        <w:rPr>
          <w:rFonts w:ascii="Times New Roman" w:hAnsi="Times New Roman" w:cs="Times New Roman"/>
          <w:b/>
          <w:sz w:val="22"/>
          <w:szCs w:val="22"/>
        </w:rPr>
        <w:t xml:space="preserve"> by 2011</w:t>
      </w:r>
      <w:r w:rsidRPr="0071564B">
        <w:rPr>
          <w:rFonts w:ascii="Times New Roman" w:hAnsi="Times New Roman" w:cs="Times New Roman"/>
          <w:b/>
          <w:sz w:val="22"/>
          <w:szCs w:val="22"/>
        </w:rPr>
        <w:t>.</w:t>
      </w:r>
      <w:r>
        <w:rPr>
          <w:rFonts w:ascii="Times New Roman" w:hAnsi="Times New Roman" w:cs="Times New Roman"/>
          <w:b/>
          <w:sz w:val="22"/>
          <w:szCs w:val="22"/>
        </w:rPr>
        <w:t xml:space="preserve"> Scotland lagged even more.</w:t>
      </w:r>
    </w:p>
  </w:footnote>
  <w:footnote w:id="12">
    <w:p w:rsidR="00FE7D32" w:rsidRPr="00564714" w:rsidRDefault="00FE7D32" w:rsidP="00564714">
      <w:pPr>
        <w:pStyle w:val="FootnoteText"/>
        <w:jc w:val="both"/>
        <w:rPr>
          <w:rFonts w:ascii="Times New Roman" w:hAnsi="Times New Roman" w:cs="Times New Roman"/>
          <w:sz w:val="22"/>
          <w:szCs w:val="22"/>
        </w:rPr>
      </w:pPr>
      <w:r w:rsidRPr="00564714">
        <w:rPr>
          <w:rStyle w:val="FootnoteReference"/>
          <w:rFonts w:ascii="Times New Roman" w:hAnsi="Times New Roman" w:cs="Times New Roman"/>
          <w:sz w:val="22"/>
          <w:szCs w:val="22"/>
        </w:rPr>
        <w:footnoteRef/>
      </w:r>
      <w:r w:rsidRPr="00564714">
        <w:rPr>
          <w:rFonts w:ascii="Times New Roman" w:hAnsi="Times New Roman" w:cs="Times New Roman"/>
          <w:sz w:val="22"/>
          <w:szCs w:val="22"/>
        </w:rPr>
        <w:t xml:space="preserve"> As Adam Smith </w:t>
      </w:r>
      <w:r w:rsidR="00B7528A">
        <w:rPr>
          <w:rFonts w:ascii="Times New Roman" w:hAnsi="Times New Roman" w:cs="Times New Roman"/>
          <w:sz w:val="22"/>
          <w:szCs w:val="22"/>
        </w:rPr>
        <w:t xml:space="preserve">(1776) </w:t>
      </w:r>
      <w:r w:rsidRPr="00564714">
        <w:rPr>
          <w:rFonts w:ascii="Times New Roman" w:hAnsi="Times New Roman" w:cs="Times New Roman"/>
          <w:sz w:val="22"/>
          <w:szCs w:val="22"/>
        </w:rPr>
        <w:t xml:space="preserve">recognised. </w:t>
      </w:r>
      <w:r>
        <w:rPr>
          <w:rFonts w:ascii="Times New Roman" w:hAnsi="Times New Roman" w:cs="Times New Roman"/>
          <w:sz w:val="22"/>
          <w:szCs w:val="22"/>
        </w:rPr>
        <w:t xml:space="preserve">In December 1928, </w:t>
      </w:r>
      <w:r w:rsidRPr="00564714">
        <w:rPr>
          <w:rFonts w:ascii="Times New Roman" w:hAnsi="Times New Roman" w:cs="Times New Roman"/>
          <w:sz w:val="22"/>
          <w:szCs w:val="22"/>
        </w:rPr>
        <w:t>Allyn Abbott Young (of Harvard and the LSE)</w:t>
      </w:r>
      <w:r>
        <w:rPr>
          <w:rFonts w:ascii="Times New Roman" w:hAnsi="Times New Roman" w:cs="Times New Roman"/>
          <w:sz w:val="22"/>
          <w:szCs w:val="22"/>
        </w:rPr>
        <w:t xml:space="preserve"> gave a famous </w:t>
      </w:r>
      <w:r w:rsidRPr="00564714">
        <w:rPr>
          <w:rFonts w:ascii="Times New Roman" w:hAnsi="Times New Roman" w:cs="Times New Roman"/>
          <w:sz w:val="22"/>
          <w:szCs w:val="22"/>
        </w:rPr>
        <w:t xml:space="preserve">presidential address to the British Association </w:t>
      </w:r>
      <w:r>
        <w:rPr>
          <w:rFonts w:ascii="Times New Roman" w:hAnsi="Times New Roman" w:cs="Times New Roman"/>
          <w:sz w:val="22"/>
          <w:szCs w:val="22"/>
        </w:rPr>
        <w:t>(held that year in Glasgow). He</w:t>
      </w:r>
      <w:r w:rsidRPr="00564714">
        <w:rPr>
          <w:rFonts w:ascii="Times New Roman" w:hAnsi="Times New Roman" w:cs="Times New Roman"/>
          <w:sz w:val="22"/>
          <w:szCs w:val="22"/>
        </w:rPr>
        <w:t xml:space="preserve"> extended Smith’s insights on the cumulative nature of the gains from “the division of labour limited by the size of the market”. He explained that in the modern world specialisation is as much </w:t>
      </w:r>
      <w:r w:rsidRPr="00564714">
        <w:rPr>
          <w:rFonts w:ascii="Times New Roman" w:hAnsi="Times New Roman" w:cs="Times New Roman"/>
          <w:b/>
          <w:i/>
          <w:sz w:val="22"/>
          <w:szCs w:val="22"/>
        </w:rPr>
        <w:t>by firm</w:t>
      </w:r>
      <w:r>
        <w:rPr>
          <w:rFonts w:ascii="Times New Roman" w:hAnsi="Times New Roman" w:cs="Times New Roman"/>
          <w:b/>
          <w:i/>
          <w:sz w:val="22"/>
          <w:szCs w:val="22"/>
        </w:rPr>
        <w:t>s</w:t>
      </w:r>
      <w:r w:rsidRPr="00564714">
        <w:rPr>
          <w:rFonts w:ascii="Times New Roman" w:hAnsi="Times New Roman" w:cs="Times New Roman"/>
          <w:sz w:val="22"/>
          <w:szCs w:val="22"/>
        </w:rPr>
        <w:t xml:space="preserve"> as it is </w:t>
      </w:r>
      <w:r w:rsidRPr="00564714">
        <w:rPr>
          <w:rFonts w:ascii="Times New Roman" w:hAnsi="Times New Roman" w:cs="Times New Roman"/>
          <w:b/>
          <w:i/>
          <w:sz w:val="22"/>
          <w:szCs w:val="22"/>
        </w:rPr>
        <w:t>within firms</w:t>
      </w:r>
      <w:r>
        <w:rPr>
          <w:rFonts w:ascii="Times New Roman" w:hAnsi="Times New Roman" w:cs="Times New Roman"/>
          <w:sz w:val="22"/>
          <w:szCs w:val="22"/>
        </w:rPr>
        <w:t xml:space="preserve">. </w:t>
      </w:r>
      <w:r w:rsidRPr="00564714">
        <w:rPr>
          <w:rFonts w:ascii="Times New Roman" w:hAnsi="Times New Roman" w:cs="Times New Roman"/>
          <w:sz w:val="22"/>
          <w:szCs w:val="22"/>
        </w:rPr>
        <w:t xml:space="preserve">(Smith’s example </w:t>
      </w:r>
      <w:r>
        <w:rPr>
          <w:rFonts w:ascii="Times New Roman" w:hAnsi="Times New Roman" w:cs="Times New Roman"/>
          <w:sz w:val="22"/>
          <w:szCs w:val="22"/>
        </w:rPr>
        <w:t>was</w:t>
      </w:r>
      <w:r w:rsidRPr="00564714">
        <w:rPr>
          <w:rFonts w:ascii="Times New Roman" w:hAnsi="Times New Roman" w:cs="Times New Roman"/>
          <w:sz w:val="22"/>
          <w:szCs w:val="22"/>
        </w:rPr>
        <w:t xml:space="preserve"> the pin factory, </w:t>
      </w:r>
      <w:r>
        <w:rPr>
          <w:rFonts w:ascii="Times New Roman" w:hAnsi="Times New Roman" w:cs="Times New Roman"/>
          <w:sz w:val="22"/>
          <w:szCs w:val="22"/>
        </w:rPr>
        <w:t>seen</w:t>
      </w:r>
      <w:r w:rsidRPr="00564714">
        <w:rPr>
          <w:rFonts w:ascii="Times New Roman" w:hAnsi="Times New Roman" w:cs="Times New Roman"/>
          <w:sz w:val="22"/>
          <w:szCs w:val="22"/>
        </w:rPr>
        <w:t xml:space="preserve"> </w:t>
      </w:r>
      <w:r>
        <w:rPr>
          <w:rFonts w:ascii="Times New Roman" w:hAnsi="Times New Roman" w:cs="Times New Roman"/>
          <w:sz w:val="22"/>
          <w:szCs w:val="22"/>
        </w:rPr>
        <w:t xml:space="preserve">today </w:t>
      </w:r>
      <w:r w:rsidRPr="00564714">
        <w:rPr>
          <w:rFonts w:ascii="Times New Roman" w:hAnsi="Times New Roman" w:cs="Times New Roman"/>
          <w:sz w:val="22"/>
          <w:szCs w:val="22"/>
        </w:rPr>
        <w:t xml:space="preserve">on Bank of England £20 notes). </w:t>
      </w:r>
    </w:p>
  </w:footnote>
  <w:footnote w:id="13">
    <w:p w:rsidR="00FE7D32" w:rsidRDefault="00FE7D32">
      <w:pPr>
        <w:pStyle w:val="FootnoteText"/>
      </w:pPr>
      <w:r>
        <w:rPr>
          <w:rStyle w:val="FootnoteReference"/>
        </w:rPr>
        <w:footnoteRef/>
      </w:r>
      <w:r>
        <w:t xml:space="preserve"> This is less than half of the proportion of total tax revenues in the UK’s GDP.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3126C"/>
    <w:multiLevelType w:val="hybridMultilevel"/>
    <w:tmpl w:val="5BAE856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AF6A74"/>
    <w:multiLevelType w:val="hybridMultilevel"/>
    <w:tmpl w:val="55D655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A33"/>
    <w:rsid w:val="00015117"/>
    <w:rsid w:val="00017103"/>
    <w:rsid w:val="00030E3A"/>
    <w:rsid w:val="000339FA"/>
    <w:rsid w:val="000469AC"/>
    <w:rsid w:val="000623B9"/>
    <w:rsid w:val="00063FE9"/>
    <w:rsid w:val="0007246F"/>
    <w:rsid w:val="000737ED"/>
    <w:rsid w:val="00077D1F"/>
    <w:rsid w:val="00085EED"/>
    <w:rsid w:val="00095F02"/>
    <w:rsid w:val="000B606F"/>
    <w:rsid w:val="000F63A9"/>
    <w:rsid w:val="00104D4C"/>
    <w:rsid w:val="00120696"/>
    <w:rsid w:val="001226DD"/>
    <w:rsid w:val="00123538"/>
    <w:rsid w:val="00123B30"/>
    <w:rsid w:val="001810CB"/>
    <w:rsid w:val="00184C94"/>
    <w:rsid w:val="00184EBE"/>
    <w:rsid w:val="00186AEE"/>
    <w:rsid w:val="001A22B4"/>
    <w:rsid w:val="001A5CFA"/>
    <w:rsid w:val="001B6038"/>
    <w:rsid w:val="001B6B63"/>
    <w:rsid w:val="001C0DEA"/>
    <w:rsid w:val="00203EA0"/>
    <w:rsid w:val="002178A5"/>
    <w:rsid w:val="00222C00"/>
    <w:rsid w:val="00223A98"/>
    <w:rsid w:val="00224087"/>
    <w:rsid w:val="0023205B"/>
    <w:rsid w:val="00234BF3"/>
    <w:rsid w:val="00235A00"/>
    <w:rsid w:val="0023651A"/>
    <w:rsid w:val="00247BF0"/>
    <w:rsid w:val="00276D8A"/>
    <w:rsid w:val="00281AEB"/>
    <w:rsid w:val="002823D1"/>
    <w:rsid w:val="00282EB5"/>
    <w:rsid w:val="00285EE4"/>
    <w:rsid w:val="002927B6"/>
    <w:rsid w:val="00292FED"/>
    <w:rsid w:val="002C4998"/>
    <w:rsid w:val="002C505C"/>
    <w:rsid w:val="002C5474"/>
    <w:rsid w:val="003256C5"/>
    <w:rsid w:val="0035044D"/>
    <w:rsid w:val="00350C56"/>
    <w:rsid w:val="00357187"/>
    <w:rsid w:val="003624B6"/>
    <w:rsid w:val="00363B07"/>
    <w:rsid w:val="00372321"/>
    <w:rsid w:val="003851EC"/>
    <w:rsid w:val="00386E32"/>
    <w:rsid w:val="003956DB"/>
    <w:rsid w:val="003A7E49"/>
    <w:rsid w:val="003C4850"/>
    <w:rsid w:val="003E14FC"/>
    <w:rsid w:val="003F10B1"/>
    <w:rsid w:val="00402615"/>
    <w:rsid w:val="00407C58"/>
    <w:rsid w:val="004105BA"/>
    <w:rsid w:val="00421B99"/>
    <w:rsid w:val="00425A7D"/>
    <w:rsid w:val="00432E26"/>
    <w:rsid w:val="004438E2"/>
    <w:rsid w:val="004570A0"/>
    <w:rsid w:val="0047245A"/>
    <w:rsid w:val="004775C6"/>
    <w:rsid w:val="0048709A"/>
    <w:rsid w:val="0049083E"/>
    <w:rsid w:val="004A0484"/>
    <w:rsid w:val="004A37FB"/>
    <w:rsid w:val="004A4C7C"/>
    <w:rsid w:val="004B09C0"/>
    <w:rsid w:val="004B4E76"/>
    <w:rsid w:val="004B588F"/>
    <w:rsid w:val="004B7820"/>
    <w:rsid w:val="004C7C96"/>
    <w:rsid w:val="004D1398"/>
    <w:rsid w:val="004E55AD"/>
    <w:rsid w:val="004F508C"/>
    <w:rsid w:val="005037F7"/>
    <w:rsid w:val="00515BFD"/>
    <w:rsid w:val="00522C57"/>
    <w:rsid w:val="00527F78"/>
    <w:rsid w:val="00530536"/>
    <w:rsid w:val="00547514"/>
    <w:rsid w:val="00554048"/>
    <w:rsid w:val="00560637"/>
    <w:rsid w:val="00564714"/>
    <w:rsid w:val="00564802"/>
    <w:rsid w:val="005814E8"/>
    <w:rsid w:val="00590499"/>
    <w:rsid w:val="00590E27"/>
    <w:rsid w:val="0059245E"/>
    <w:rsid w:val="0059604E"/>
    <w:rsid w:val="005B0887"/>
    <w:rsid w:val="005B2BC5"/>
    <w:rsid w:val="005D7381"/>
    <w:rsid w:val="005E5B2C"/>
    <w:rsid w:val="0060341F"/>
    <w:rsid w:val="006134CB"/>
    <w:rsid w:val="0061618B"/>
    <w:rsid w:val="00630264"/>
    <w:rsid w:val="00630DD5"/>
    <w:rsid w:val="00633696"/>
    <w:rsid w:val="00645710"/>
    <w:rsid w:val="00653AB4"/>
    <w:rsid w:val="00653D10"/>
    <w:rsid w:val="0067497C"/>
    <w:rsid w:val="00675D59"/>
    <w:rsid w:val="00682118"/>
    <w:rsid w:val="00685826"/>
    <w:rsid w:val="006923C6"/>
    <w:rsid w:val="00693FCD"/>
    <w:rsid w:val="0069484B"/>
    <w:rsid w:val="006A16F8"/>
    <w:rsid w:val="006A6957"/>
    <w:rsid w:val="006C2A41"/>
    <w:rsid w:val="006D3A6B"/>
    <w:rsid w:val="006D5525"/>
    <w:rsid w:val="006F1366"/>
    <w:rsid w:val="006F3CC3"/>
    <w:rsid w:val="0071564B"/>
    <w:rsid w:val="0071786B"/>
    <w:rsid w:val="00727D74"/>
    <w:rsid w:val="00734121"/>
    <w:rsid w:val="00737E54"/>
    <w:rsid w:val="00741A81"/>
    <w:rsid w:val="00753BA0"/>
    <w:rsid w:val="007549CC"/>
    <w:rsid w:val="00754F50"/>
    <w:rsid w:val="00762362"/>
    <w:rsid w:val="007A369D"/>
    <w:rsid w:val="007A45D0"/>
    <w:rsid w:val="007B38CF"/>
    <w:rsid w:val="007B6E59"/>
    <w:rsid w:val="007B73C2"/>
    <w:rsid w:val="007F2F2B"/>
    <w:rsid w:val="007F77AF"/>
    <w:rsid w:val="008227E0"/>
    <w:rsid w:val="00825E98"/>
    <w:rsid w:val="008478A1"/>
    <w:rsid w:val="008530BD"/>
    <w:rsid w:val="00860D94"/>
    <w:rsid w:val="008647CE"/>
    <w:rsid w:val="00873956"/>
    <w:rsid w:val="00873A95"/>
    <w:rsid w:val="008836ED"/>
    <w:rsid w:val="0089288F"/>
    <w:rsid w:val="008C377C"/>
    <w:rsid w:val="008C55A2"/>
    <w:rsid w:val="008C6CC3"/>
    <w:rsid w:val="008C7F78"/>
    <w:rsid w:val="008D61C2"/>
    <w:rsid w:val="009100F9"/>
    <w:rsid w:val="00936AEF"/>
    <w:rsid w:val="00937461"/>
    <w:rsid w:val="00941C33"/>
    <w:rsid w:val="00951370"/>
    <w:rsid w:val="0095776C"/>
    <w:rsid w:val="00961515"/>
    <w:rsid w:val="00962A61"/>
    <w:rsid w:val="00971641"/>
    <w:rsid w:val="00977464"/>
    <w:rsid w:val="009931CE"/>
    <w:rsid w:val="009A1F03"/>
    <w:rsid w:val="009A6213"/>
    <w:rsid w:val="009C7F3B"/>
    <w:rsid w:val="009D5F72"/>
    <w:rsid w:val="00A0605C"/>
    <w:rsid w:val="00A15829"/>
    <w:rsid w:val="00A15F62"/>
    <w:rsid w:val="00A46056"/>
    <w:rsid w:val="00A510AA"/>
    <w:rsid w:val="00A6313B"/>
    <w:rsid w:val="00A67FA3"/>
    <w:rsid w:val="00A7288A"/>
    <w:rsid w:val="00A81416"/>
    <w:rsid w:val="00A8785F"/>
    <w:rsid w:val="00AA2ED8"/>
    <w:rsid w:val="00AA321B"/>
    <w:rsid w:val="00AA3240"/>
    <w:rsid w:val="00AB38CA"/>
    <w:rsid w:val="00AC4E3F"/>
    <w:rsid w:val="00AC51C3"/>
    <w:rsid w:val="00AC59EF"/>
    <w:rsid w:val="00AE67BF"/>
    <w:rsid w:val="00AF3BDC"/>
    <w:rsid w:val="00B04DD8"/>
    <w:rsid w:val="00B13614"/>
    <w:rsid w:val="00B1419F"/>
    <w:rsid w:val="00B1529E"/>
    <w:rsid w:val="00B319C8"/>
    <w:rsid w:val="00B35E44"/>
    <w:rsid w:val="00B37444"/>
    <w:rsid w:val="00B43DE1"/>
    <w:rsid w:val="00B61667"/>
    <w:rsid w:val="00B707A0"/>
    <w:rsid w:val="00B70ED0"/>
    <w:rsid w:val="00B72CA6"/>
    <w:rsid w:val="00B7528A"/>
    <w:rsid w:val="00B81F1D"/>
    <w:rsid w:val="00B82738"/>
    <w:rsid w:val="00B85DC6"/>
    <w:rsid w:val="00B8661E"/>
    <w:rsid w:val="00BB4E01"/>
    <w:rsid w:val="00BC1783"/>
    <w:rsid w:val="00BF346F"/>
    <w:rsid w:val="00BF474C"/>
    <w:rsid w:val="00C10EF8"/>
    <w:rsid w:val="00C23AFB"/>
    <w:rsid w:val="00C43E11"/>
    <w:rsid w:val="00C44FBD"/>
    <w:rsid w:val="00C830BD"/>
    <w:rsid w:val="00C85530"/>
    <w:rsid w:val="00C94A5D"/>
    <w:rsid w:val="00CA1D6B"/>
    <w:rsid w:val="00CB176E"/>
    <w:rsid w:val="00CC2D36"/>
    <w:rsid w:val="00CE1A23"/>
    <w:rsid w:val="00CF7A62"/>
    <w:rsid w:val="00D02165"/>
    <w:rsid w:val="00D107E7"/>
    <w:rsid w:val="00D11BD3"/>
    <w:rsid w:val="00D14A33"/>
    <w:rsid w:val="00D353C8"/>
    <w:rsid w:val="00D604BD"/>
    <w:rsid w:val="00D6283E"/>
    <w:rsid w:val="00D63A42"/>
    <w:rsid w:val="00D6444B"/>
    <w:rsid w:val="00D67040"/>
    <w:rsid w:val="00D835F6"/>
    <w:rsid w:val="00D96DA8"/>
    <w:rsid w:val="00DA281A"/>
    <w:rsid w:val="00DD338F"/>
    <w:rsid w:val="00DD5570"/>
    <w:rsid w:val="00DD6D3A"/>
    <w:rsid w:val="00DE4337"/>
    <w:rsid w:val="00DF6790"/>
    <w:rsid w:val="00E07310"/>
    <w:rsid w:val="00E1010E"/>
    <w:rsid w:val="00E24791"/>
    <w:rsid w:val="00E251FC"/>
    <w:rsid w:val="00E269D7"/>
    <w:rsid w:val="00E27E4D"/>
    <w:rsid w:val="00E46C92"/>
    <w:rsid w:val="00E646DF"/>
    <w:rsid w:val="00E66590"/>
    <w:rsid w:val="00E807CC"/>
    <w:rsid w:val="00E839AA"/>
    <w:rsid w:val="00E940AA"/>
    <w:rsid w:val="00E963E4"/>
    <w:rsid w:val="00EB1420"/>
    <w:rsid w:val="00EB1D7A"/>
    <w:rsid w:val="00EC7478"/>
    <w:rsid w:val="00ED2F68"/>
    <w:rsid w:val="00ED5D0F"/>
    <w:rsid w:val="00EF1409"/>
    <w:rsid w:val="00EF4CD5"/>
    <w:rsid w:val="00F150B3"/>
    <w:rsid w:val="00F25CDE"/>
    <w:rsid w:val="00F36AC3"/>
    <w:rsid w:val="00F54BE2"/>
    <w:rsid w:val="00F6671D"/>
    <w:rsid w:val="00F67E1D"/>
    <w:rsid w:val="00F70DB1"/>
    <w:rsid w:val="00F90FF6"/>
    <w:rsid w:val="00F9191D"/>
    <w:rsid w:val="00F93616"/>
    <w:rsid w:val="00FB60DD"/>
    <w:rsid w:val="00FC7EF5"/>
    <w:rsid w:val="00FE2D9D"/>
    <w:rsid w:val="00FE7D32"/>
    <w:rsid w:val="00FF1825"/>
    <w:rsid w:val="00FF22B3"/>
    <w:rsid w:val="00FF2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5F02"/>
    <w:pPr>
      <w:spacing w:after="0" w:line="240" w:lineRule="auto"/>
    </w:pPr>
    <w:rPr>
      <w:sz w:val="20"/>
      <w:szCs w:val="20"/>
    </w:rPr>
  </w:style>
  <w:style w:type="character" w:customStyle="1" w:styleId="FootnoteTextChar">
    <w:name w:val="Footnote Text Char"/>
    <w:basedOn w:val="DefaultParagraphFont"/>
    <w:link w:val="FootnoteText"/>
    <w:uiPriority w:val="99"/>
    <w:rsid w:val="00095F02"/>
    <w:rPr>
      <w:sz w:val="20"/>
      <w:szCs w:val="20"/>
    </w:rPr>
  </w:style>
  <w:style w:type="character" w:styleId="FootnoteReference">
    <w:name w:val="footnote reference"/>
    <w:basedOn w:val="DefaultParagraphFont"/>
    <w:uiPriority w:val="99"/>
    <w:semiHidden/>
    <w:unhideWhenUsed/>
    <w:rsid w:val="00095F02"/>
    <w:rPr>
      <w:vertAlign w:val="superscript"/>
    </w:rPr>
  </w:style>
  <w:style w:type="character" w:styleId="Strong">
    <w:name w:val="Strong"/>
    <w:basedOn w:val="DefaultParagraphFont"/>
    <w:uiPriority w:val="22"/>
    <w:qFormat/>
    <w:rsid w:val="00E646DF"/>
    <w:rPr>
      <w:b/>
      <w:bCs/>
    </w:rPr>
  </w:style>
  <w:style w:type="paragraph" w:styleId="NormalWeb">
    <w:name w:val="Normal (Web)"/>
    <w:basedOn w:val="Normal"/>
    <w:uiPriority w:val="99"/>
    <w:unhideWhenUsed/>
    <w:rsid w:val="00E646DF"/>
    <w:pPr>
      <w:spacing w:after="0"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E646DF"/>
    <w:pPr>
      <w:spacing w:after="0" w:line="264" w:lineRule="auto"/>
      <w:ind w:firstLine="720"/>
    </w:pPr>
    <w:rPr>
      <w:rFonts w:ascii="News Gothic MT" w:eastAsia="Times New Roman" w:hAnsi="News Gothic MT" w:cs="Times New Roman"/>
      <w:sz w:val="20"/>
      <w:szCs w:val="20"/>
      <w:lang w:eastAsia="en-GB"/>
    </w:rPr>
  </w:style>
  <w:style w:type="character" w:customStyle="1" w:styleId="BodyTextIndentChar">
    <w:name w:val="Body Text Indent Char"/>
    <w:basedOn w:val="DefaultParagraphFont"/>
    <w:link w:val="BodyTextIndent"/>
    <w:uiPriority w:val="99"/>
    <w:semiHidden/>
    <w:rsid w:val="00E646DF"/>
    <w:rPr>
      <w:rFonts w:ascii="News Gothic MT" w:eastAsia="Times New Roman" w:hAnsi="News Gothic MT" w:cs="Times New Roman"/>
      <w:sz w:val="20"/>
      <w:szCs w:val="20"/>
      <w:lang w:eastAsia="en-GB"/>
    </w:rPr>
  </w:style>
  <w:style w:type="character" w:styleId="Emphasis">
    <w:name w:val="Emphasis"/>
    <w:basedOn w:val="DefaultParagraphFont"/>
    <w:uiPriority w:val="20"/>
    <w:qFormat/>
    <w:rsid w:val="00E646DF"/>
    <w:rPr>
      <w:i/>
      <w:iCs/>
    </w:rPr>
  </w:style>
  <w:style w:type="paragraph" w:styleId="ListParagraph">
    <w:name w:val="List Paragraph"/>
    <w:basedOn w:val="Normal"/>
    <w:uiPriority w:val="34"/>
    <w:qFormat/>
    <w:rsid w:val="00281AEB"/>
    <w:pPr>
      <w:ind w:left="720"/>
      <w:contextualSpacing/>
    </w:pPr>
  </w:style>
  <w:style w:type="paragraph" w:styleId="BalloonText">
    <w:name w:val="Balloon Text"/>
    <w:basedOn w:val="Normal"/>
    <w:link w:val="BalloonTextChar"/>
    <w:uiPriority w:val="99"/>
    <w:semiHidden/>
    <w:unhideWhenUsed/>
    <w:rsid w:val="009A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03"/>
    <w:rPr>
      <w:rFonts w:ascii="Tahoma" w:hAnsi="Tahoma" w:cs="Tahoma"/>
      <w:sz w:val="16"/>
      <w:szCs w:val="16"/>
    </w:rPr>
  </w:style>
  <w:style w:type="paragraph" w:styleId="NoSpacing">
    <w:name w:val="No Spacing"/>
    <w:uiPriority w:val="1"/>
    <w:qFormat/>
    <w:rsid w:val="009A6213"/>
    <w:pPr>
      <w:spacing w:after="0" w:line="240" w:lineRule="auto"/>
    </w:pPr>
  </w:style>
  <w:style w:type="paragraph" w:customStyle="1" w:styleId="CM54">
    <w:name w:val="CM54"/>
    <w:basedOn w:val="Normal"/>
    <w:next w:val="Normal"/>
    <w:uiPriority w:val="99"/>
    <w:rsid w:val="009100F9"/>
    <w:pPr>
      <w:autoSpaceDE w:val="0"/>
      <w:autoSpaceDN w:val="0"/>
      <w:adjustRightInd w:val="0"/>
      <w:spacing w:after="0" w:line="240" w:lineRule="auto"/>
    </w:pPr>
    <w:rPr>
      <w:rFonts w:ascii="Arial" w:hAnsi="Arial" w:cs="Arial"/>
      <w:sz w:val="24"/>
      <w:szCs w:val="24"/>
    </w:rPr>
  </w:style>
  <w:style w:type="paragraph" w:customStyle="1" w:styleId="CM52">
    <w:name w:val="CM52"/>
    <w:basedOn w:val="Normal"/>
    <w:next w:val="Normal"/>
    <w:uiPriority w:val="99"/>
    <w:rsid w:val="009100F9"/>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247BF0"/>
    <w:rPr>
      <w:color w:val="0000FF" w:themeColor="hyperlink"/>
      <w:u w:val="single"/>
    </w:rPr>
  </w:style>
  <w:style w:type="paragraph" w:styleId="Header">
    <w:name w:val="header"/>
    <w:basedOn w:val="Normal"/>
    <w:link w:val="HeaderChar"/>
    <w:uiPriority w:val="99"/>
    <w:unhideWhenUsed/>
    <w:rsid w:val="008C7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F78"/>
  </w:style>
  <w:style w:type="paragraph" w:styleId="Footer">
    <w:name w:val="footer"/>
    <w:basedOn w:val="Normal"/>
    <w:link w:val="FooterChar"/>
    <w:uiPriority w:val="99"/>
    <w:unhideWhenUsed/>
    <w:rsid w:val="008C7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F78"/>
  </w:style>
  <w:style w:type="character" w:styleId="HTMLCite">
    <w:name w:val="HTML Cite"/>
    <w:basedOn w:val="DefaultParagraphFont"/>
    <w:uiPriority w:val="99"/>
    <w:semiHidden/>
    <w:unhideWhenUsed/>
    <w:rsid w:val="00AB38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95F02"/>
    <w:pPr>
      <w:spacing w:after="0" w:line="240" w:lineRule="auto"/>
    </w:pPr>
    <w:rPr>
      <w:sz w:val="20"/>
      <w:szCs w:val="20"/>
    </w:rPr>
  </w:style>
  <w:style w:type="character" w:customStyle="1" w:styleId="FootnoteTextChar">
    <w:name w:val="Footnote Text Char"/>
    <w:basedOn w:val="DefaultParagraphFont"/>
    <w:link w:val="FootnoteText"/>
    <w:uiPriority w:val="99"/>
    <w:rsid w:val="00095F02"/>
    <w:rPr>
      <w:sz w:val="20"/>
      <w:szCs w:val="20"/>
    </w:rPr>
  </w:style>
  <w:style w:type="character" w:styleId="FootnoteReference">
    <w:name w:val="footnote reference"/>
    <w:basedOn w:val="DefaultParagraphFont"/>
    <w:uiPriority w:val="99"/>
    <w:semiHidden/>
    <w:unhideWhenUsed/>
    <w:rsid w:val="00095F02"/>
    <w:rPr>
      <w:vertAlign w:val="superscript"/>
    </w:rPr>
  </w:style>
  <w:style w:type="character" w:styleId="Strong">
    <w:name w:val="Strong"/>
    <w:basedOn w:val="DefaultParagraphFont"/>
    <w:uiPriority w:val="22"/>
    <w:qFormat/>
    <w:rsid w:val="00E646DF"/>
    <w:rPr>
      <w:b/>
      <w:bCs/>
    </w:rPr>
  </w:style>
  <w:style w:type="paragraph" w:styleId="NormalWeb">
    <w:name w:val="Normal (Web)"/>
    <w:basedOn w:val="Normal"/>
    <w:uiPriority w:val="99"/>
    <w:unhideWhenUsed/>
    <w:rsid w:val="00E646DF"/>
    <w:pPr>
      <w:spacing w:after="0" w:line="240" w:lineRule="auto"/>
    </w:pPr>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uiPriority w:val="99"/>
    <w:semiHidden/>
    <w:unhideWhenUsed/>
    <w:rsid w:val="00E646DF"/>
    <w:pPr>
      <w:spacing w:after="0" w:line="264" w:lineRule="auto"/>
      <w:ind w:firstLine="720"/>
    </w:pPr>
    <w:rPr>
      <w:rFonts w:ascii="News Gothic MT" w:eastAsia="Times New Roman" w:hAnsi="News Gothic MT" w:cs="Times New Roman"/>
      <w:sz w:val="20"/>
      <w:szCs w:val="20"/>
      <w:lang w:eastAsia="en-GB"/>
    </w:rPr>
  </w:style>
  <w:style w:type="character" w:customStyle="1" w:styleId="BodyTextIndentChar">
    <w:name w:val="Body Text Indent Char"/>
    <w:basedOn w:val="DefaultParagraphFont"/>
    <w:link w:val="BodyTextIndent"/>
    <w:uiPriority w:val="99"/>
    <w:semiHidden/>
    <w:rsid w:val="00E646DF"/>
    <w:rPr>
      <w:rFonts w:ascii="News Gothic MT" w:eastAsia="Times New Roman" w:hAnsi="News Gothic MT" w:cs="Times New Roman"/>
      <w:sz w:val="20"/>
      <w:szCs w:val="20"/>
      <w:lang w:eastAsia="en-GB"/>
    </w:rPr>
  </w:style>
  <w:style w:type="character" w:styleId="Emphasis">
    <w:name w:val="Emphasis"/>
    <w:basedOn w:val="DefaultParagraphFont"/>
    <w:uiPriority w:val="20"/>
    <w:qFormat/>
    <w:rsid w:val="00E646DF"/>
    <w:rPr>
      <w:i/>
      <w:iCs/>
    </w:rPr>
  </w:style>
  <w:style w:type="paragraph" w:styleId="ListParagraph">
    <w:name w:val="List Paragraph"/>
    <w:basedOn w:val="Normal"/>
    <w:uiPriority w:val="34"/>
    <w:qFormat/>
    <w:rsid w:val="00281AEB"/>
    <w:pPr>
      <w:ind w:left="720"/>
      <w:contextualSpacing/>
    </w:pPr>
  </w:style>
  <w:style w:type="paragraph" w:styleId="BalloonText">
    <w:name w:val="Balloon Text"/>
    <w:basedOn w:val="Normal"/>
    <w:link w:val="BalloonTextChar"/>
    <w:uiPriority w:val="99"/>
    <w:semiHidden/>
    <w:unhideWhenUsed/>
    <w:rsid w:val="009A1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F03"/>
    <w:rPr>
      <w:rFonts w:ascii="Tahoma" w:hAnsi="Tahoma" w:cs="Tahoma"/>
      <w:sz w:val="16"/>
      <w:szCs w:val="16"/>
    </w:rPr>
  </w:style>
  <w:style w:type="paragraph" w:styleId="NoSpacing">
    <w:name w:val="No Spacing"/>
    <w:uiPriority w:val="1"/>
    <w:qFormat/>
    <w:rsid w:val="009A6213"/>
    <w:pPr>
      <w:spacing w:after="0" w:line="240" w:lineRule="auto"/>
    </w:pPr>
  </w:style>
  <w:style w:type="paragraph" w:customStyle="1" w:styleId="CM54">
    <w:name w:val="CM54"/>
    <w:basedOn w:val="Normal"/>
    <w:next w:val="Normal"/>
    <w:uiPriority w:val="99"/>
    <w:rsid w:val="009100F9"/>
    <w:pPr>
      <w:autoSpaceDE w:val="0"/>
      <w:autoSpaceDN w:val="0"/>
      <w:adjustRightInd w:val="0"/>
      <w:spacing w:after="0" w:line="240" w:lineRule="auto"/>
    </w:pPr>
    <w:rPr>
      <w:rFonts w:ascii="Arial" w:hAnsi="Arial" w:cs="Arial"/>
      <w:sz w:val="24"/>
      <w:szCs w:val="24"/>
    </w:rPr>
  </w:style>
  <w:style w:type="paragraph" w:customStyle="1" w:styleId="CM52">
    <w:name w:val="CM52"/>
    <w:basedOn w:val="Normal"/>
    <w:next w:val="Normal"/>
    <w:uiPriority w:val="99"/>
    <w:rsid w:val="009100F9"/>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unhideWhenUsed/>
    <w:rsid w:val="00247BF0"/>
    <w:rPr>
      <w:color w:val="0000FF" w:themeColor="hyperlink"/>
      <w:u w:val="single"/>
    </w:rPr>
  </w:style>
  <w:style w:type="paragraph" w:styleId="Header">
    <w:name w:val="header"/>
    <w:basedOn w:val="Normal"/>
    <w:link w:val="HeaderChar"/>
    <w:uiPriority w:val="99"/>
    <w:unhideWhenUsed/>
    <w:rsid w:val="008C7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F78"/>
  </w:style>
  <w:style w:type="paragraph" w:styleId="Footer">
    <w:name w:val="footer"/>
    <w:basedOn w:val="Normal"/>
    <w:link w:val="FooterChar"/>
    <w:uiPriority w:val="99"/>
    <w:unhideWhenUsed/>
    <w:rsid w:val="008C7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F78"/>
  </w:style>
  <w:style w:type="character" w:styleId="HTMLCite">
    <w:name w:val="HTML Cite"/>
    <w:basedOn w:val="DefaultParagraphFont"/>
    <w:uiPriority w:val="99"/>
    <w:semiHidden/>
    <w:unhideWhenUsed/>
    <w:rsid w:val="00AB3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11902">
      <w:bodyDiv w:val="1"/>
      <w:marLeft w:val="0"/>
      <w:marRight w:val="0"/>
      <w:marTop w:val="0"/>
      <w:marBottom w:val="0"/>
      <w:divBdr>
        <w:top w:val="none" w:sz="0" w:space="0" w:color="auto"/>
        <w:left w:val="none" w:sz="0" w:space="0" w:color="auto"/>
        <w:bottom w:val="none" w:sz="0" w:space="0" w:color="auto"/>
        <w:right w:val="none" w:sz="0" w:space="0" w:color="auto"/>
      </w:divBdr>
      <w:divsChild>
        <w:div w:id="966741855">
          <w:marLeft w:val="0"/>
          <w:marRight w:val="0"/>
          <w:marTop w:val="0"/>
          <w:marBottom w:val="0"/>
          <w:divBdr>
            <w:top w:val="none" w:sz="0" w:space="0" w:color="auto"/>
            <w:left w:val="none" w:sz="0" w:space="0" w:color="auto"/>
            <w:bottom w:val="none" w:sz="0" w:space="0" w:color="auto"/>
            <w:right w:val="none" w:sz="0" w:space="0" w:color="auto"/>
          </w:divBdr>
          <w:divsChild>
            <w:div w:id="1831673693">
              <w:marLeft w:val="0"/>
              <w:marRight w:val="0"/>
              <w:marTop w:val="0"/>
              <w:marBottom w:val="0"/>
              <w:divBdr>
                <w:top w:val="none" w:sz="0" w:space="0" w:color="auto"/>
                <w:left w:val="none" w:sz="0" w:space="0" w:color="auto"/>
                <w:bottom w:val="none" w:sz="0" w:space="0" w:color="auto"/>
                <w:right w:val="none" w:sz="0" w:space="0" w:color="auto"/>
              </w:divBdr>
              <w:divsChild>
                <w:div w:id="576014485">
                  <w:marLeft w:val="0"/>
                  <w:marRight w:val="0"/>
                  <w:marTop w:val="0"/>
                  <w:marBottom w:val="0"/>
                  <w:divBdr>
                    <w:top w:val="none" w:sz="0" w:space="0" w:color="auto"/>
                    <w:left w:val="none" w:sz="0" w:space="0" w:color="auto"/>
                    <w:bottom w:val="none" w:sz="0" w:space="0" w:color="auto"/>
                    <w:right w:val="none" w:sz="0" w:space="0" w:color="auto"/>
                  </w:divBdr>
                </w:div>
                <w:div w:id="364642437">
                  <w:marLeft w:val="0"/>
                  <w:marRight w:val="0"/>
                  <w:marTop w:val="0"/>
                  <w:marBottom w:val="0"/>
                  <w:divBdr>
                    <w:top w:val="none" w:sz="0" w:space="0" w:color="auto"/>
                    <w:left w:val="none" w:sz="0" w:space="0" w:color="auto"/>
                    <w:bottom w:val="none" w:sz="0" w:space="0" w:color="auto"/>
                    <w:right w:val="none" w:sz="0" w:space="0" w:color="auto"/>
                  </w:divBdr>
                  <w:divsChild>
                    <w:div w:id="999231980">
                      <w:marLeft w:val="0"/>
                      <w:marRight w:val="0"/>
                      <w:marTop w:val="0"/>
                      <w:marBottom w:val="0"/>
                      <w:divBdr>
                        <w:top w:val="none" w:sz="0" w:space="0" w:color="auto"/>
                        <w:left w:val="none" w:sz="0" w:space="0" w:color="auto"/>
                        <w:bottom w:val="none" w:sz="0" w:space="0" w:color="auto"/>
                        <w:right w:val="none" w:sz="0" w:space="0" w:color="auto"/>
                      </w:divBdr>
                      <w:divsChild>
                        <w:div w:id="1104836831">
                          <w:marLeft w:val="0"/>
                          <w:marRight w:val="0"/>
                          <w:marTop w:val="0"/>
                          <w:marBottom w:val="0"/>
                          <w:divBdr>
                            <w:top w:val="none" w:sz="0" w:space="0" w:color="auto"/>
                            <w:left w:val="none" w:sz="0" w:space="0" w:color="auto"/>
                            <w:bottom w:val="none" w:sz="0" w:space="0" w:color="auto"/>
                            <w:right w:val="none" w:sz="0" w:space="0" w:color="auto"/>
                          </w:divBdr>
                          <w:divsChild>
                            <w:div w:id="45995493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cotland.gov.uk/Topics/Statistics/Browse/Economy/GD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ro-scotland.gov.uk/statistics/theme/vital-events/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nemo.strath.ac.uk/owa/redir.aspx?C=1GOMki54Uk6oW1HSrGPgxopYMu2S_9EIFHt4oThvmiozbCP7Cdub9vXYfB0ekX8mQ51OiPCwhqw.&amp;URL=http%3a%2f%2fons.gov.uk%2fons%2ftaxonomy%2findex.html%3fnscl%3dRegional%2bGVA%23tab-data-tables"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ons.gov.uk/ons/taxonomy/index.html?nscl=Regional+GV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avidhumeinstitute.com/images/stories/publications/other/DHI_Paper.pdf" TargetMode="External"/><Relationship Id="rId2" Type="http://schemas.openxmlformats.org/officeDocument/2006/relationships/hyperlink" Target="http://www.gov.uk/government/uploads/.../Table_502_-_ONS.xls" TargetMode="External"/><Relationship Id="rId1" Type="http://schemas.openxmlformats.org/officeDocument/2006/relationships/hyperlink" Target="http://www.ons.gov.uk/ons/datasets-and-tables/data-selector.html?cdid=JVZ7&amp;dataset=ppi&amp;table-id=4" TargetMode="External"/><Relationship Id="rId5" Type="http://schemas.openxmlformats.org/officeDocument/2006/relationships/hyperlink" Target="http://data.worldbank.org/country" TargetMode="External"/><Relationship Id="rId4" Type="http://schemas.openxmlformats.org/officeDocument/2006/relationships/hyperlink" Target="http://www.indexmundi.com/facts/singapore/gdp-per-capi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5A0F-115E-4E6D-B045-0A1C8FCF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5403</Words>
  <Characters>30801</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cp:revision>
  <cp:lastPrinted>2015-01-12T17:04:00Z</cp:lastPrinted>
  <dcterms:created xsi:type="dcterms:W3CDTF">2015-01-26T18:14:00Z</dcterms:created>
  <dcterms:modified xsi:type="dcterms:W3CDTF">2015-01-26T18:14:00Z</dcterms:modified>
</cp:coreProperties>
</file>